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lockText"/>
        <w:spacing w:after="0"/>
        <w:jc w:val="center"/>
        <w:rPr>
          <w:b/>
          <w:sz w:val="21"/>
        </w:rPr>
      </w:pPr>
      <w:r>
        <w:rPr>
          <w:b/>
          <w:sz w:val="21"/>
        </w:rPr>
        <w:t>UNITED STATES</w:t>
      </w:r>
    </w:p>
    <w:p>
      <w:pPr>
        <w:pStyle w:val="BlockText"/>
        <w:spacing w:after="0"/>
        <w:jc w:val="center"/>
        <w:rPr>
          <w:b/>
          <w:sz w:val="21"/>
        </w:rPr>
      </w:pPr>
      <w:r>
        <w:rPr>
          <w:b/>
          <w:sz w:val="21"/>
        </w:rPr>
        <w:t>SECURITIES AND EXCHANGE COMMISSION</w:t>
      </w:r>
    </w:p>
    <w:p>
      <w:pPr>
        <w:pStyle w:val="BlockText"/>
        <w:spacing w:after="0"/>
        <w:jc w:val="center"/>
        <w:rPr>
          <w:b/>
          <w:sz w:val="21"/>
        </w:rPr>
      </w:pPr>
      <w:r>
        <w:rPr>
          <w:b/>
          <w:sz w:val="21"/>
        </w:rPr>
        <w:t>WASHINGTON, D.C. 20549</w:t>
      </w:r>
    </w:p>
    <w:p>
      <w:pPr>
        <w:pStyle w:val="BlockText"/>
      </w:pPr>
    </w:p>
    <w:p>
      <w:pPr>
        <w:pStyle w:val="BlockText"/>
        <w:spacing w:after="0"/>
        <w:jc w:val="center"/>
        <w:rPr>
          <w:b/>
        </w:rPr>
      </w:pPr>
      <w:r>
        <w:rPr>
          <w:b/>
        </w:rPr>
        <w:t xml:space="preserve">FORM SD </w:t>
      </w:r>
    </w:p>
    <w:p>
      <w:pPr>
        <w:pStyle w:val="BlockText"/>
        <w:spacing w:after="0"/>
        <w:jc w:val="center"/>
        <w:rPr>
          <w:b/>
        </w:rPr>
      </w:pPr>
      <w:r>
        <w:rPr>
          <w:b/>
        </w:rPr>
        <w:t>Specialized Disclosure Report</w:t>
      </w:r>
    </w:p>
    <w:p>
      <w:pPr>
        <w:pStyle w:val="BlockText"/>
        <w:spacing w:after="0"/>
        <w:jc w:val="center"/>
        <w:rPr>
          <w:b/>
        </w:rPr>
      </w:pPr>
    </w:p>
    <w:p>
      <w:pPr>
        <w:pStyle w:val="BlockText"/>
        <w:jc w:val="center"/>
      </w:pPr>
      <w:r>
        <w:rPr>
          <w:b/>
        </w:rPr>
        <w:t>Sasol Limited</w:t>
      </w:r>
      <w:r>
        <w:rPr>
          <w:b/>
        </w:rPr>
        <w:br/>
      </w:r>
      <w:r>
        <w:t>(Exact name of registrant as specified in its charter)</w:t>
      </w:r>
      <w:r>
        <w:br/>
      </w:r>
    </w:p>
    <w:tbl>
      <w:tblPr>
        <w:tblW w:w="0" w:type="auto"/>
        <w:tblLook w:val="0000" w:firstRow="0" w:lastRow="0" w:firstColumn="0" w:lastColumn="0" w:noHBand="0" w:noVBand="0"/>
      </w:tblPr>
      <w:tblGrid>
        <w:gridCol w:w="3120"/>
        <w:gridCol w:w="1920"/>
        <w:gridCol w:w="1200"/>
        <w:gridCol w:w="3120"/>
      </w:tblGrid>
      <w:tr>
        <w:tc>
          <w:tcPr>
            <w:tcW w:w="3192" w:type="dxa"/>
          </w:tcPr>
          <w:p>
            <w:pPr>
              <w:pStyle w:val="Table"/>
              <w:jc w:val="center"/>
              <w:rPr>
                <w:b/>
              </w:rPr>
            </w:pPr>
            <w:r>
              <w:rPr>
                <w:b/>
              </w:rPr>
              <w:t>Republic of South Africa</w:t>
            </w:r>
          </w:p>
        </w:tc>
        <w:tc>
          <w:tcPr>
            <w:tcW w:w="3192" w:type="dxa"/>
            <w:gridSpan w:val="2"/>
          </w:tcPr>
          <w:p>
            <w:pPr>
              <w:pStyle w:val="Table"/>
              <w:jc w:val="center"/>
              <w:rPr>
                <w:b/>
              </w:rPr>
            </w:pPr>
            <w:r>
              <w:rPr>
                <w:b/>
              </w:rPr>
              <w:t>001-31615</w:t>
            </w:r>
          </w:p>
        </w:tc>
        <w:tc>
          <w:tcPr>
            <w:tcW w:w="3192" w:type="dxa"/>
          </w:tcPr>
          <w:p>
            <w:pPr>
              <w:pStyle w:val="Table"/>
              <w:jc w:val="center"/>
              <w:rPr>
                <w:b/>
              </w:rPr>
            </w:pPr>
            <w:r>
              <w:rPr>
                <w:b/>
              </w:rPr>
              <w:t>N/A</w:t>
            </w:r>
          </w:p>
        </w:tc>
      </w:tr>
      <w:tr>
        <w:tc>
          <w:tcPr>
            <w:tcW w:w="3192" w:type="dxa"/>
          </w:tcPr>
          <w:p>
            <w:pPr>
              <w:pStyle w:val="Table"/>
              <w:jc w:val="center"/>
            </w:pPr>
            <w:r>
              <w:t>(State or other</w:t>
            </w:r>
          </w:p>
        </w:tc>
        <w:tc>
          <w:tcPr>
            <w:tcW w:w="3192" w:type="dxa"/>
            <w:gridSpan w:val="2"/>
          </w:tcPr>
          <w:p>
            <w:pPr>
              <w:pStyle w:val="Table"/>
              <w:jc w:val="center"/>
            </w:pPr>
            <w:r>
              <w:t>(Commission File Number)</w:t>
            </w:r>
          </w:p>
        </w:tc>
        <w:tc>
          <w:tcPr>
            <w:tcW w:w="3192" w:type="dxa"/>
          </w:tcPr>
          <w:p>
            <w:pPr>
              <w:pStyle w:val="Table"/>
              <w:jc w:val="center"/>
            </w:pPr>
            <w:r>
              <w:t>(IRS Employer</w:t>
            </w:r>
          </w:p>
        </w:tc>
      </w:tr>
      <w:tr>
        <w:tc>
          <w:tcPr>
            <w:tcW w:w="3192" w:type="dxa"/>
          </w:tcPr>
          <w:p>
            <w:pPr>
              <w:pStyle w:val="Table"/>
              <w:jc w:val="center"/>
            </w:pPr>
            <w:r>
              <w:t>jurisdiction of incorporation or organization)</w:t>
            </w:r>
          </w:p>
        </w:tc>
        <w:tc>
          <w:tcPr>
            <w:tcW w:w="3192" w:type="dxa"/>
            <w:gridSpan w:val="2"/>
          </w:tcPr>
          <w:p>
            <w:pPr>
              <w:pStyle w:val="Table"/>
            </w:pPr>
          </w:p>
        </w:tc>
        <w:tc>
          <w:tcPr>
            <w:tcW w:w="3192" w:type="dxa"/>
          </w:tcPr>
          <w:p>
            <w:pPr>
              <w:pStyle w:val="Table"/>
              <w:jc w:val="center"/>
            </w:pPr>
            <w:r>
              <w:t>Identification No.)</w:t>
            </w:r>
          </w:p>
        </w:tc>
      </w:tr>
      <w:tr>
        <w:tc>
          <w:tcPr>
            <w:tcW w:w="3192" w:type="dxa"/>
          </w:tcPr>
          <w:p>
            <w:pPr>
              <w:pStyle w:val="Table"/>
            </w:pPr>
          </w:p>
        </w:tc>
        <w:tc>
          <w:tcPr>
            <w:tcW w:w="3192" w:type="dxa"/>
            <w:gridSpan w:val="2"/>
          </w:tcPr>
          <w:p>
            <w:pPr>
              <w:pStyle w:val="Table"/>
            </w:pPr>
          </w:p>
        </w:tc>
        <w:tc>
          <w:tcPr>
            <w:tcW w:w="3192" w:type="dxa"/>
          </w:tcPr>
          <w:p>
            <w:pPr>
              <w:pStyle w:val="Table"/>
            </w:pPr>
          </w:p>
        </w:tc>
      </w:tr>
      <w:tr>
        <w:trPr>
          <w:trHeight w:val="270"/>
        </w:trPr>
        <w:tc>
          <w:tcPr>
            <w:tcW w:w="5148" w:type="dxa"/>
            <w:gridSpan w:val="2"/>
          </w:tcPr>
          <w:p>
            <w:pPr>
              <w:pStyle w:val="Table"/>
              <w:jc w:val="center"/>
              <w:rPr>
                <w:b/>
              </w:rPr>
            </w:pPr>
            <w:r>
              <w:rPr>
                <w:b/>
              </w:rPr>
              <w:t>Sasol Place, 50 Katherine Street, Sandton</w:t>
            </w:r>
          </w:p>
        </w:tc>
        <w:tc>
          <w:tcPr>
            <w:tcW w:w="4428" w:type="dxa"/>
            <w:gridSpan w:val="2"/>
          </w:tcPr>
          <w:p>
            <w:pPr>
              <w:pStyle w:val="Table"/>
              <w:jc w:val="center"/>
              <w:rPr>
                <w:b/>
              </w:rPr>
            </w:pPr>
            <w:r>
              <w:rPr>
                <w:b/>
              </w:rPr>
              <w:t>N/A</w:t>
            </w:r>
          </w:p>
        </w:tc>
      </w:tr>
      <w:tr>
        <w:trPr>
          <w:trHeight w:val="270"/>
        </w:trPr>
        <w:tc>
          <w:tcPr>
            <w:tcW w:w="5148" w:type="dxa"/>
            <w:gridSpan w:val="2"/>
          </w:tcPr>
          <w:p>
            <w:pPr>
              <w:pStyle w:val="Table"/>
              <w:jc w:val="center"/>
            </w:pPr>
            <w:r>
              <w:t>(Address of principal executive offices)</w:t>
            </w:r>
          </w:p>
        </w:tc>
        <w:tc>
          <w:tcPr>
            <w:tcW w:w="4428" w:type="dxa"/>
            <w:gridSpan w:val="2"/>
          </w:tcPr>
          <w:p>
            <w:pPr>
              <w:pStyle w:val="Table"/>
              <w:jc w:val="center"/>
            </w:pPr>
            <w:r>
              <w:t>(Zip Code)</w:t>
            </w:r>
          </w:p>
        </w:tc>
      </w:tr>
      <w:tr>
        <w:trPr>
          <w:trHeight w:val="270"/>
        </w:trPr>
        <w:tc>
          <w:tcPr>
            <w:tcW w:w="9576" w:type="dxa"/>
            <w:gridSpan w:val="4"/>
          </w:tcPr>
          <w:p>
            <w:pPr>
              <w:pStyle w:val="Table"/>
              <w:jc w:val="center"/>
            </w:pPr>
          </w:p>
        </w:tc>
      </w:tr>
      <w:tr>
        <w:trPr>
          <w:trHeight w:val="270"/>
        </w:trPr>
        <w:tc>
          <w:tcPr>
            <w:tcW w:w="9576" w:type="dxa"/>
            <w:gridSpan w:val="4"/>
          </w:tcPr>
          <w:p>
            <w:pPr>
              <w:pStyle w:val="Table"/>
              <w:jc w:val="center"/>
              <w:rPr>
                <w:b/>
              </w:rPr>
            </w:pPr>
            <w:r>
              <w:rPr>
                <w:b/>
              </w:rPr>
              <w:t xml:space="preserve">Michelle du Toit, Group Company Secretary  </w:t>
            </w:r>
          </w:p>
          <w:p>
            <w:pPr>
              <w:pStyle w:val="Table"/>
              <w:jc w:val="center"/>
              <w:rPr>
                <w:b/>
              </w:rPr>
            </w:pPr>
            <w:r>
              <w:rPr>
                <w:b/>
              </w:rPr>
              <w:t xml:space="preserve"> Tel. No. +27 10 344 8058</w:t>
            </w:r>
          </w:p>
        </w:tc>
      </w:tr>
      <w:tr>
        <w:trPr>
          <w:trHeight w:val="270"/>
        </w:trPr>
        <w:tc>
          <w:tcPr>
            <w:tcW w:w="9576" w:type="dxa"/>
            <w:gridSpan w:val="4"/>
          </w:tcPr>
          <w:p>
            <w:pPr>
              <w:pStyle w:val="Table"/>
              <w:jc w:val="center"/>
            </w:pPr>
            <w:r>
              <w:t>(Name and telephone number, including area code, of the person to contact in connection with this report.)</w:t>
            </w:r>
          </w:p>
        </w:tc>
      </w:tr>
    </w:tbl>
    <w:p>
      <w:pPr>
        <w:pStyle w:val="BlockText"/>
        <w:spacing w:after="0"/>
        <w:rPr>
          <w:b/>
        </w:rPr>
      </w:pPr>
    </w:p>
    <w:p>
      <w:pPr>
        <w:pStyle w:val="BlockText"/>
        <w:spacing w:after="0"/>
        <w:rPr>
          <w:b/>
        </w:rPr>
      </w:pPr>
    </w:p>
    <w:p>
      <w:pPr>
        <w:pStyle w:val="BlockText"/>
        <w:spacing w:after="0"/>
      </w:pPr>
      <w:r>
        <w:t>Check the appropriate box to indicate the rule pursuant to which this form is being filed,</w:t>
      </w:r>
    </w:p>
    <w:p>
      <w:pPr>
        <w:pStyle w:val="BlockText"/>
        <w:spacing w:after="0"/>
      </w:pPr>
      <w:r>
        <w:t>and provide the period to which the information in this form applies:</w:t>
      </w:r>
    </w:p>
    <w:p>
      <w:pPr>
        <w:pStyle w:val="BlockText"/>
        <w:spacing w:after="0"/>
      </w:pPr>
    </w:p>
    <w:p>
      <w:pPr>
        <w:pStyle w:val="BlockText"/>
        <w:spacing w:after="0"/>
      </w:pPr>
    </w:p>
    <w:p>
      <w:pPr>
        <w:pStyle w:val="BlockText"/>
        <w:spacing w:after="0"/>
      </w:pPr>
      <w:r>
        <w:rPr>
          <w:u w:val="single"/>
        </w:rPr>
        <w:t xml:space="preserve">  X  </w:t>
      </w:r>
      <w:r>
        <w:t xml:space="preserve"> Rule 13p-1 under the Securities Exchange Act (17 CFR 240.13p-1) for the reporting period from January 1 to December 31, 2022.</w:t>
      </w:r>
    </w:p>
    <w:p>
      <w:pPr>
        <w:pStyle w:val="BlockText"/>
        <w:spacing w:after="0"/>
      </w:pPr>
    </w:p>
    <w:p>
      <w:pPr>
        <w:pStyle w:val="BlockText"/>
        <w:spacing w:after="0"/>
        <w:ind w:firstLine="120"/>
      </w:pPr>
    </w:p>
    <w:p>
      <w:pPr>
        <w:pStyle w:val="BlockText"/>
        <w:spacing w:after="0"/>
      </w:pPr>
    </w:p>
    <w:p>
      <w:pPr>
        <w:pStyle w:val="BlockText"/>
        <w:spacing w:after="0"/>
      </w:pPr>
    </w:p>
    <w:p>
      <w:pPr>
        <w:pStyle w:val="BlockText"/>
        <w:spacing w:after="0"/>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pPr>
        <w:pStyle w:val="BodyText"/>
        <w:rPr>
          <w:b/>
        </w:rPr>
      </w:pPr>
      <w:r>
        <w:rPr>
          <w:b/>
        </w:rPr>
        <w:lastRenderedPageBreak/>
        <w:t>Section 1 – Conflict Minerals Disclosure</w:t>
      </w:r>
    </w:p>
    <w:p>
      <w:pPr>
        <w:pStyle w:val="BodyText"/>
      </w:pPr>
      <w:r>
        <w:t>Item 1.01</w:t>
      </w:r>
      <w:r>
        <w:tab/>
        <w:t>Conflict Minerals Disclosure</w:t>
      </w:r>
    </w:p>
    <w:p>
      <w:pPr>
        <w:autoSpaceDE w:val="0"/>
        <w:autoSpaceDN w:val="0"/>
        <w:adjustRightInd w:val="0"/>
        <w:spacing w:line="360" w:lineRule="auto"/>
        <w:rPr>
          <w:rFonts w:asciiTheme="majorHAnsi" w:hAnsiTheme="majorHAnsi" w:cstheme="majorHAnsi"/>
          <w:lang w:val="en-GB"/>
        </w:rPr>
      </w:pPr>
      <w:r>
        <w:rPr>
          <w:rFonts w:asciiTheme="majorHAnsi" w:hAnsiTheme="majorHAnsi" w:cstheme="majorHAnsi"/>
          <w:lang w:val="en-ZA"/>
        </w:rPr>
        <w:t>Sasol is an international integrated chemicals and energy company. We develop and commercialise technologies and build and operate world-scale facilities to produce a range of high value product streams, including liquid fuels, chemicals and lower-carbon electricity.</w:t>
      </w:r>
    </w:p>
    <w:p>
      <w:pPr>
        <w:autoSpaceDE w:val="0"/>
        <w:autoSpaceDN w:val="0"/>
        <w:adjustRightInd w:val="0"/>
        <w:spacing w:line="360" w:lineRule="auto"/>
        <w:rPr>
          <w:rFonts w:asciiTheme="majorHAnsi" w:eastAsia="Gustan-Bold" w:hAnsiTheme="majorHAnsi" w:cstheme="majorHAnsi"/>
          <w:bCs/>
          <w:lang w:val="en-GB"/>
        </w:rPr>
      </w:pPr>
    </w:p>
    <w:p>
      <w:pPr>
        <w:autoSpaceDE w:val="0"/>
        <w:autoSpaceDN w:val="0"/>
        <w:adjustRightInd w:val="0"/>
        <w:spacing w:line="360" w:lineRule="auto"/>
        <w:rPr>
          <w:rFonts w:asciiTheme="majorHAnsi" w:hAnsiTheme="majorHAnsi" w:cstheme="majorHAnsi"/>
        </w:rPr>
      </w:pPr>
      <w:r>
        <w:rPr>
          <w:rFonts w:asciiTheme="majorHAnsi" w:eastAsia="Gustan-Bold" w:hAnsiTheme="majorHAnsi" w:cstheme="majorHAnsi"/>
          <w:bCs/>
          <w:lang w:val="en-GB"/>
        </w:rPr>
        <w:t xml:space="preserve">In accordance with Sasol’s Code of Ethics, Sasol adheres to trade controls and international sanctions. </w:t>
      </w:r>
      <w:r>
        <w:rPr>
          <w:rFonts w:asciiTheme="majorHAnsi" w:hAnsiTheme="majorHAnsi" w:cstheme="majorHAnsi"/>
          <w:lang w:val="en-GB"/>
        </w:rPr>
        <w:t xml:space="preserve">We conduct due diligence on customers, suppliers and partners. </w:t>
      </w:r>
      <w:r>
        <w:rPr>
          <w:rFonts w:asciiTheme="majorHAnsi" w:hAnsiTheme="majorHAnsi" w:cstheme="majorHAnsi"/>
        </w:rPr>
        <w:t xml:space="preserve">Suppliers are also expected to operate in accordance with values and behaviours comparable to ours and in a manner which is consistent with prudent business practice. For further information please consult </w:t>
      </w:r>
      <w:hyperlink r:id="rId13" w:history="1">
        <w:r>
          <w:rPr>
            <w:rStyle w:val="Hyperlink"/>
            <w:rFonts w:asciiTheme="majorHAnsi" w:hAnsiTheme="majorHAnsi" w:cstheme="majorHAnsi"/>
          </w:rPr>
          <w:t>www.sasol.com/suppliers/ethics</w:t>
        </w:r>
      </w:hyperlink>
    </w:p>
    <w:p>
      <w:pPr>
        <w:pStyle w:val="BodyText"/>
        <w:spacing w:after="0" w:line="360" w:lineRule="auto"/>
        <w:rPr>
          <w:rFonts w:asciiTheme="majorHAnsi" w:hAnsiTheme="majorHAnsi" w:cstheme="majorHAnsi"/>
        </w:rPr>
      </w:pPr>
    </w:p>
    <w:p>
      <w:pPr>
        <w:pStyle w:val="BodyText"/>
        <w:spacing w:after="0" w:line="360" w:lineRule="auto"/>
        <w:rPr>
          <w:rFonts w:asciiTheme="majorHAnsi" w:hAnsiTheme="majorHAnsi" w:cstheme="majorHAnsi"/>
        </w:rPr>
      </w:pPr>
      <w:r>
        <w:rPr>
          <w:rFonts w:asciiTheme="majorHAnsi" w:hAnsiTheme="majorHAnsi" w:cstheme="majorHAnsi"/>
        </w:rPr>
        <w:t>Sasol conducted in good faith a reasonable country of origin inquiry that it believes was adequately designed to determine whether any of the Conflict Minerals originated in the Democratic Republic of the Congo or an adjoining country that shares an internationally recognized border with the Democratic Republic of the Congo (the “Covered Countries”), for the period January 1, 2022 to December 31, 2022.  The minerals considered were columbite-tantalite (source of tantalum), cassiterite (source of tin), gold and wolframite (source of tungsten).</w:t>
      </w:r>
    </w:p>
    <w:p>
      <w:pPr>
        <w:pStyle w:val="BodyText"/>
        <w:spacing w:after="0" w:line="360" w:lineRule="auto"/>
        <w:rPr>
          <w:rFonts w:asciiTheme="majorHAnsi" w:hAnsiTheme="majorHAnsi" w:cstheme="majorHAnsi"/>
        </w:rPr>
      </w:pPr>
    </w:p>
    <w:p>
      <w:pPr>
        <w:pStyle w:val="BodyText"/>
        <w:spacing w:after="0" w:line="360" w:lineRule="auto"/>
        <w:rPr>
          <w:rFonts w:asciiTheme="majorHAnsi" w:hAnsiTheme="majorHAnsi" w:cstheme="majorHAnsi"/>
        </w:rPr>
      </w:pPr>
      <w:r>
        <w:rPr>
          <w:rFonts w:asciiTheme="majorHAnsi" w:hAnsiTheme="majorHAnsi" w:cstheme="majorHAnsi"/>
        </w:rPr>
        <w:t xml:space="preserve">It was determined that certain products manufactured by Sasol Limited and its consolidated subsidiaries (together, “Sasol”), or which Sasol contracted to be manufactured, contained tin and tungsten which are necessary to the functionality `or production of such products.  </w:t>
      </w:r>
    </w:p>
    <w:p>
      <w:pPr>
        <w:pStyle w:val="BodyText"/>
        <w:spacing w:line="360" w:lineRule="auto"/>
        <w:rPr>
          <w:rFonts w:asciiTheme="majorHAnsi" w:hAnsiTheme="majorHAnsi" w:cstheme="majorHAnsi"/>
        </w:rPr>
      </w:pPr>
      <w:r>
        <w:rPr>
          <w:rFonts w:asciiTheme="majorHAnsi" w:hAnsiTheme="majorHAnsi" w:cstheme="majorHAnsi"/>
        </w:rPr>
        <w:t xml:space="preserve">Sasol’s supply chain tiers are far removed from conflict minerals mining activities, with no direct business relationship with any such mines or metal processing facilities.  In order to conduct its reasonable country of origin inquiry, Sasol identified first-tier suppliers that supply Sasol goods containing Conflict Minerals used in, and necessary to the functionality or production of, products manufactured by Sasol or products that Sasol contracted to be manufactured.  Sasol verifies that the origin of Conflict Minerals used in its production processes, excludes the Covered Countries by relying on the publicly available Responsible Minerals Sourcing Policies of suppliers, the supplier’s listing on the Responsible Minerals Assurance Process (RMAP) Conformant companies published on Responsible Mineral Initiatives (RMI) website or by </w:t>
      </w:r>
      <w:r>
        <w:rPr>
          <w:rFonts w:asciiTheme="majorHAnsi" w:hAnsiTheme="majorHAnsi" w:cstheme="majorHAnsi"/>
          <w:highlight w:val="yellow"/>
        </w:rPr>
        <w:t xml:space="preserve"> </w:t>
      </w:r>
      <w:r>
        <w:rPr>
          <w:rFonts w:asciiTheme="majorHAnsi" w:hAnsiTheme="majorHAnsi" w:cstheme="majorHAnsi"/>
        </w:rPr>
        <w:lastRenderedPageBreak/>
        <w:t xml:space="preserve">obtaining written representations from affected suppliers confirming that the country of origin of the </w:t>
      </w:r>
      <w:bookmarkStart w:id="0" w:name="_Hlk135663762"/>
      <w:r>
        <w:rPr>
          <w:rFonts w:asciiTheme="majorHAnsi" w:hAnsiTheme="majorHAnsi" w:cstheme="majorHAnsi"/>
        </w:rPr>
        <w:t xml:space="preserve">Conflict Minerals </w:t>
      </w:r>
      <w:bookmarkEnd w:id="0"/>
      <w:r>
        <w:rPr>
          <w:rFonts w:asciiTheme="majorHAnsi" w:hAnsiTheme="majorHAnsi" w:cstheme="majorHAnsi"/>
        </w:rPr>
        <w:t xml:space="preserve">excludes the Covered Countries. </w:t>
      </w:r>
    </w:p>
    <w:p>
      <w:pPr>
        <w:pStyle w:val="BodyText"/>
        <w:spacing w:after="0" w:line="360" w:lineRule="auto"/>
        <w:rPr>
          <w:rFonts w:asciiTheme="majorHAnsi" w:hAnsiTheme="majorHAnsi" w:cstheme="majorHAnsi"/>
        </w:rPr>
      </w:pPr>
      <w:r>
        <w:rPr>
          <w:rFonts w:asciiTheme="majorHAnsi" w:hAnsiTheme="majorHAnsi" w:cstheme="majorHAnsi"/>
        </w:rPr>
        <w:t>Based on its reasonable country of origin and confirmation of smelters inquiry, Sasol has determined that it has no reason to believe that its necessary Conflict Minerals may have originated in the Covered Countries.</w:t>
      </w:r>
    </w:p>
    <w:p>
      <w:pPr>
        <w:autoSpaceDE w:val="0"/>
        <w:autoSpaceDN w:val="0"/>
        <w:adjustRightInd w:val="0"/>
        <w:spacing w:line="360" w:lineRule="auto"/>
        <w:rPr>
          <w:rFonts w:asciiTheme="majorHAnsi" w:hAnsiTheme="majorHAnsi" w:cstheme="majorHAnsi"/>
          <w:lang w:val="en-GB"/>
        </w:rPr>
      </w:pPr>
      <w:r>
        <w:rPr>
          <w:rFonts w:asciiTheme="majorHAnsi" w:hAnsiTheme="majorHAnsi" w:cstheme="majorHAnsi"/>
          <w:lang w:val="en-GB"/>
        </w:rPr>
        <w:t>We will continue to raise awareness of Conflict Minerals across our supply chain and should there be any changes, we will endeavour to communicate such changes accordingly.</w:t>
      </w:r>
    </w:p>
    <w:p/>
    <w:p>
      <w:pPr>
        <w:rPr>
          <w:u w:val="single"/>
        </w:rPr>
      </w:pPr>
      <w:r>
        <w:t xml:space="preserve">This Conflict Minerals Disclosure is also available on Sasol’s website at: </w:t>
      </w:r>
    </w:p>
    <w:p>
      <w:pPr>
        <w:pStyle w:val="BodyText"/>
        <w:rPr>
          <w:color w:val="0000FF"/>
          <w:sz w:val="23"/>
          <w:szCs w:val="23"/>
          <w:u w:val="single"/>
        </w:rPr>
      </w:pPr>
      <w:r>
        <w:rPr>
          <w:color w:val="0000FF"/>
          <w:sz w:val="23"/>
          <w:szCs w:val="23"/>
          <w:u w:val="single"/>
        </w:rPr>
        <w:t>https://www.sasol.com/investor-centre/financial-reporting/sustainable-development-report/latest</w:t>
      </w:r>
    </w:p>
    <w:p>
      <w:pPr>
        <w:pStyle w:val="BodyText"/>
      </w:pPr>
    </w:p>
    <w:p>
      <w:pPr>
        <w:pStyle w:val="BodyText"/>
      </w:pPr>
      <w:r>
        <w:t>Item 1.02</w:t>
      </w:r>
      <w:r>
        <w:tab/>
        <w:t>Exhibit</w:t>
      </w:r>
    </w:p>
    <w:p>
      <w:pPr>
        <w:pStyle w:val="BodyText"/>
      </w:pPr>
      <w:r>
        <w:t>Not applicable.</w:t>
      </w:r>
    </w:p>
    <w:p>
      <w:pPr>
        <w:pStyle w:val="BodyText"/>
      </w:pPr>
    </w:p>
    <w:p>
      <w:pPr>
        <w:pStyle w:val="BodyText"/>
        <w:rPr>
          <w:b/>
        </w:rPr>
      </w:pPr>
      <w:r>
        <w:rPr>
          <w:b/>
        </w:rPr>
        <w:t>Section 2 – Exhibits</w:t>
      </w:r>
    </w:p>
    <w:p>
      <w:pPr>
        <w:pStyle w:val="BodyText"/>
      </w:pPr>
      <w:r>
        <w:t>Item 2.01</w:t>
      </w:r>
      <w:r>
        <w:tab/>
        <w:t>Exhibits</w:t>
      </w:r>
    </w:p>
    <w:p>
      <w:pPr>
        <w:pStyle w:val="BodyText"/>
      </w:pPr>
      <w:r>
        <w:t>Not applicable.</w:t>
      </w:r>
    </w:p>
    <w:p>
      <w:pPr>
        <w:pStyle w:val="BodyText"/>
      </w:pPr>
    </w:p>
    <w:p>
      <w:pPr>
        <w:pStyle w:val="BlockText"/>
        <w:jc w:val="center"/>
        <w:rPr>
          <w:b/>
        </w:rPr>
      </w:pPr>
      <w:r>
        <w:rPr>
          <w:b/>
        </w:rPr>
        <w:t>SIGNATURE</w:t>
      </w:r>
    </w:p>
    <w:p>
      <w:pPr>
        <w:pStyle w:val="BodyText"/>
      </w:pPr>
      <w:r>
        <w:t>Pursuant to the requirements of the Securities Exchange Act of 1934, the registrant has duly caused this report to be signed on its behalf by the duly authorized undersigned.</w:t>
      </w:r>
    </w:p>
    <w:p>
      <w:pPr>
        <w:pStyle w:val="Signature"/>
      </w:pPr>
      <w:r>
        <w:t>SASOL LIMITED</w:t>
      </w:r>
    </w:p>
    <w:p>
      <w:pPr>
        <w:pStyle w:val="Signature"/>
      </w:pPr>
    </w:p>
    <w:p>
      <w:pPr>
        <w:pStyle w:val="Signature"/>
      </w:pPr>
    </w:p>
    <w:p>
      <w:pPr>
        <w:pStyle w:val="Signature"/>
        <w:rPr>
          <w:lang w:val="en-GB"/>
        </w:rPr>
      </w:pPr>
      <w:r>
        <w:rPr>
          <w:lang w:val="en-GB"/>
        </w:rPr>
        <w:t xml:space="preserve">By: </w:t>
      </w:r>
      <w:r>
        <w:rPr>
          <w:u w:val="single"/>
          <w:lang w:val="en-GB"/>
        </w:rPr>
        <w:tab/>
        <w:t xml:space="preserve">/s/ </w:t>
      </w:r>
      <w:r>
        <w:rPr>
          <w:smallCaps/>
          <w:u w:val="single"/>
          <w:lang w:val="en-GB"/>
        </w:rPr>
        <w:t>Michelle du Toit</w:t>
      </w:r>
      <w:r>
        <w:rPr>
          <w:u w:val="single"/>
          <w:lang w:val="en-GB"/>
        </w:rPr>
        <w:tab/>
      </w:r>
      <w:r>
        <w:rPr>
          <w:u w:val="single"/>
          <w:lang w:val="en-GB"/>
        </w:rPr>
        <w:tab/>
      </w:r>
    </w:p>
    <w:p>
      <w:pPr>
        <w:pStyle w:val="Signature"/>
        <w:tabs>
          <w:tab w:val="left" w:pos="4680"/>
          <w:tab w:val="left" w:pos="5400"/>
        </w:tabs>
      </w:pPr>
      <w:r>
        <w:rPr>
          <w:lang w:val="en-GB"/>
        </w:rPr>
        <w:tab/>
      </w:r>
      <w:r>
        <w:t>Name:</w:t>
      </w:r>
      <w:r>
        <w:tab/>
        <w:t>Michelle du Toit</w:t>
      </w:r>
    </w:p>
    <w:p>
      <w:pPr>
        <w:pStyle w:val="Signature"/>
        <w:tabs>
          <w:tab w:val="left" w:pos="4680"/>
          <w:tab w:val="left" w:pos="5400"/>
        </w:tabs>
        <w:ind w:left="5400" w:hanging="720"/>
      </w:pPr>
      <w:r>
        <w:t>Title:</w:t>
      </w:r>
      <w:r>
        <w:tab/>
      </w:r>
      <w:r>
        <w:rPr>
          <w:b/>
        </w:rPr>
        <w:t>Group Company Secretary</w:t>
      </w:r>
    </w:p>
    <w:p>
      <w:pPr>
        <w:pStyle w:val="Signature"/>
        <w:tabs>
          <w:tab w:val="left" w:pos="4680"/>
          <w:tab w:val="left" w:pos="5400"/>
        </w:tabs>
        <w:ind w:left="5400" w:hanging="720"/>
      </w:pPr>
    </w:p>
    <w:p>
      <w:pPr>
        <w:pStyle w:val="Signature"/>
        <w:ind w:left="5040"/>
      </w:pPr>
    </w:p>
    <w:p>
      <w:pPr>
        <w:pStyle w:val="BlockText"/>
        <w:spacing w:after="0"/>
      </w:pPr>
      <w:r>
        <w:t>Date:</w:t>
      </w:r>
      <w:r>
        <w:tab/>
        <w:t>31 May 2023</w:t>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stan-Bold">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rStyle w:val="DocID"/>
      </w:rPr>
      <w:t>LNDOCS01/851260.1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E4"/>
    <w:multiLevelType w:val="hybridMultilevel"/>
    <w:tmpl w:val="6424110C"/>
    <w:lvl w:ilvl="0" w:tplc="D116C05C">
      <w:start w:val="1"/>
      <w:numFmt w:val="lowerRoman"/>
      <w:pStyle w:val="PARoman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66A70"/>
    <w:multiLevelType w:val="hybridMultilevel"/>
    <w:tmpl w:val="11DEC6B8"/>
    <w:lvl w:ilvl="0" w:tplc="A2F88D02">
      <w:start w:val="1"/>
      <w:numFmt w:val="decimal"/>
      <w:pStyle w:val="PANum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46BB"/>
    <w:multiLevelType w:val="hybridMultilevel"/>
    <w:tmpl w:val="4EDCA6E6"/>
    <w:lvl w:ilvl="0" w:tplc="56A4358E">
      <w:start w:val="1"/>
      <w:numFmt w:val="bullet"/>
      <w:pStyle w:val="PABulletindent2"/>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EB"/>
    <w:multiLevelType w:val="hybridMultilevel"/>
    <w:tmpl w:val="70DC04B2"/>
    <w:lvl w:ilvl="0" w:tplc="B09616EE">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84CBC"/>
    <w:multiLevelType w:val="hybridMultilevel"/>
    <w:tmpl w:val="32F2E22C"/>
    <w:lvl w:ilvl="0" w:tplc="3C141B14">
      <w:start w:val="1"/>
      <w:numFmt w:val="bullet"/>
      <w:pStyle w:val="PABulletindent15"/>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900FE"/>
    <w:multiLevelType w:val="hybridMultilevel"/>
    <w:tmpl w:val="77022C1C"/>
    <w:lvl w:ilvl="0" w:tplc="4AB8D3A6">
      <w:start w:val="1"/>
      <w:numFmt w:val="decimal"/>
      <w:pStyle w:val="PANum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C28C8"/>
    <w:multiLevelType w:val="hybridMultilevel"/>
    <w:tmpl w:val="5C5A58FC"/>
    <w:lvl w:ilvl="0" w:tplc="A424806C">
      <w:start w:val="1"/>
      <w:numFmt w:val="bullet"/>
      <w:pStyle w:val="PADashList"/>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67920"/>
    <w:multiLevelType w:val="hybridMultilevel"/>
    <w:tmpl w:val="4BC420CE"/>
    <w:lvl w:ilvl="0" w:tplc="484AD502">
      <w:start w:val="1"/>
      <w:numFmt w:val="bullet"/>
      <w:pStyle w:val="PABulletindent0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A78D5"/>
    <w:multiLevelType w:val="hybridMultilevel"/>
    <w:tmpl w:val="3A6CB324"/>
    <w:lvl w:ilvl="0" w:tplc="F5487446">
      <w:start w:val="1"/>
      <w:numFmt w:val="decimal"/>
      <w:lvlRestart w:val="0"/>
      <w:pStyle w:val="BodyTextNumbered"/>
      <w:lvlText w:val="%1."/>
      <w:lvlJc w:val="left"/>
      <w:pPr>
        <w:tabs>
          <w:tab w:val="num" w:pos="2160"/>
        </w:tabs>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B6300"/>
    <w:multiLevelType w:val="hybridMultilevel"/>
    <w:tmpl w:val="62500554"/>
    <w:lvl w:ilvl="0" w:tplc="7AFE0620">
      <w:start w:val="1"/>
      <w:numFmt w:val="lowerRoman"/>
      <w:pStyle w:val="PARoman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64DF8"/>
    <w:multiLevelType w:val="hybridMultilevel"/>
    <w:tmpl w:val="D7F09E4A"/>
    <w:lvl w:ilvl="0" w:tplc="E77C06E8">
      <w:start w:val="1"/>
      <w:numFmt w:val="lowerLetter"/>
      <w:pStyle w:val="PAAlpha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05BAA"/>
    <w:multiLevelType w:val="hybridMultilevel"/>
    <w:tmpl w:val="A73AF702"/>
    <w:lvl w:ilvl="0" w:tplc="E6FCFBDA">
      <w:start w:val="1"/>
      <w:numFmt w:val="decimal"/>
      <w:pStyle w:val="PANum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2C2D"/>
    <w:multiLevelType w:val="hybridMultilevel"/>
    <w:tmpl w:val="F0A0C4C8"/>
    <w:lvl w:ilvl="0" w:tplc="C730213A">
      <w:start w:val="1"/>
      <w:numFmt w:val="bullet"/>
      <w:pStyle w:val="BulletedLis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43BBE"/>
    <w:multiLevelType w:val="hybridMultilevel"/>
    <w:tmpl w:val="4B709730"/>
    <w:lvl w:ilvl="0" w:tplc="27FAFC30">
      <w:start w:val="1"/>
      <w:numFmt w:val="lowerRoman"/>
      <w:pStyle w:val="PARoman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21495"/>
    <w:multiLevelType w:val="hybridMultilevel"/>
    <w:tmpl w:val="8280D7A8"/>
    <w:lvl w:ilvl="0" w:tplc="D138F598">
      <w:start w:val="1"/>
      <w:numFmt w:val="lowerLetter"/>
      <w:pStyle w:val="PAAlpha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F228D4"/>
    <w:multiLevelType w:val="hybridMultilevel"/>
    <w:tmpl w:val="33B05B22"/>
    <w:lvl w:ilvl="0" w:tplc="4E102AC8">
      <w:start w:val="1"/>
      <w:numFmt w:val="lowerLetter"/>
      <w:pStyle w:val="PAAlpha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850533"/>
    <w:multiLevelType w:val="hybridMultilevel"/>
    <w:tmpl w:val="33628298"/>
    <w:lvl w:ilvl="0" w:tplc="11AA0B44">
      <w:start w:val="1"/>
      <w:numFmt w:val="decimal"/>
      <w:pStyle w:val="PANum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75DCA"/>
    <w:multiLevelType w:val="hybridMultilevel"/>
    <w:tmpl w:val="BD645F6C"/>
    <w:lvl w:ilvl="0" w:tplc="4552EC6C">
      <w:start w:val="1"/>
      <w:numFmt w:val="decimal"/>
      <w:pStyle w:val="PANum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C5475"/>
    <w:multiLevelType w:val="hybridMultilevel"/>
    <w:tmpl w:val="8F2C1A02"/>
    <w:lvl w:ilvl="0" w:tplc="1194AA8E">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A4B09"/>
    <w:multiLevelType w:val="hybridMultilevel"/>
    <w:tmpl w:val="CE400736"/>
    <w:lvl w:ilvl="0" w:tplc="E898BB22">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37E64"/>
    <w:multiLevelType w:val="hybridMultilevel"/>
    <w:tmpl w:val="095C505E"/>
    <w:lvl w:ilvl="0" w:tplc="937220B2">
      <w:start w:val="1"/>
      <w:numFmt w:val="lowerRoman"/>
      <w:pStyle w:val="PARoman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3B38A8"/>
    <w:multiLevelType w:val="hybridMultilevel"/>
    <w:tmpl w:val="96024DAC"/>
    <w:lvl w:ilvl="0" w:tplc="84C62F88">
      <w:start w:val="1"/>
      <w:numFmt w:val="bullet"/>
      <w:pStyle w:val="PABulletindent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3208E9"/>
    <w:multiLevelType w:val="hybridMultilevel"/>
    <w:tmpl w:val="25F8F480"/>
    <w:lvl w:ilvl="0" w:tplc="988EFF90">
      <w:start w:val="1"/>
      <w:numFmt w:val="bullet"/>
      <w:pStyle w:val="PA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53013"/>
    <w:multiLevelType w:val="hybridMultilevel"/>
    <w:tmpl w:val="1F7C50E6"/>
    <w:lvl w:ilvl="0" w:tplc="897618A4">
      <w:start w:val="1"/>
      <w:numFmt w:val="lowerLetter"/>
      <w:pStyle w:val="PAAlpha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5C53BD"/>
    <w:multiLevelType w:val="hybridMultilevel"/>
    <w:tmpl w:val="580C5C3E"/>
    <w:lvl w:ilvl="0" w:tplc="69045DC2">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B29CD"/>
    <w:multiLevelType w:val="hybridMultilevel"/>
    <w:tmpl w:val="9FDA2064"/>
    <w:lvl w:ilvl="0" w:tplc="8EEA1466">
      <w:start w:val="1"/>
      <w:numFmt w:val="lowerLetter"/>
      <w:pStyle w:val="PAAlpha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84257D"/>
    <w:multiLevelType w:val="hybridMultilevel"/>
    <w:tmpl w:val="A8E277C4"/>
    <w:lvl w:ilvl="0" w:tplc="A2BC9D52">
      <w:start w:val="1"/>
      <w:numFmt w:val="lowerRoman"/>
      <w:pStyle w:val="PARoman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93928">
    <w:abstractNumId w:val="8"/>
  </w:num>
  <w:num w:numId="2" w16cid:durableId="1278442397">
    <w:abstractNumId w:val="12"/>
  </w:num>
  <w:num w:numId="3" w16cid:durableId="2096393248">
    <w:abstractNumId w:val="22"/>
  </w:num>
  <w:num w:numId="4" w16cid:durableId="248348298">
    <w:abstractNumId w:val="10"/>
  </w:num>
  <w:num w:numId="5" w16cid:durableId="516307406">
    <w:abstractNumId w:val="15"/>
  </w:num>
  <w:num w:numId="6" w16cid:durableId="1736590223">
    <w:abstractNumId w:val="14"/>
  </w:num>
  <w:num w:numId="7" w16cid:durableId="588194042">
    <w:abstractNumId w:val="26"/>
  </w:num>
  <w:num w:numId="8" w16cid:durableId="223680973">
    <w:abstractNumId w:val="24"/>
  </w:num>
  <w:num w:numId="9" w16cid:durableId="1862088434">
    <w:abstractNumId w:val="23"/>
  </w:num>
  <w:num w:numId="10" w16cid:durableId="1149322875">
    <w:abstractNumId w:val="7"/>
  </w:num>
  <w:num w:numId="11" w16cid:durableId="1692755160">
    <w:abstractNumId w:val="21"/>
  </w:num>
  <w:num w:numId="12" w16cid:durableId="646595608">
    <w:abstractNumId w:val="4"/>
  </w:num>
  <w:num w:numId="13" w16cid:durableId="1706953021">
    <w:abstractNumId w:val="2"/>
  </w:num>
  <w:num w:numId="14" w16cid:durableId="1897933689">
    <w:abstractNumId w:val="6"/>
  </w:num>
  <w:num w:numId="15" w16cid:durableId="1982535078">
    <w:abstractNumId w:val="19"/>
  </w:num>
  <w:num w:numId="16" w16cid:durableId="1561020754">
    <w:abstractNumId w:val="3"/>
  </w:num>
  <w:num w:numId="17" w16cid:durableId="375394699">
    <w:abstractNumId w:val="18"/>
  </w:num>
  <w:num w:numId="18" w16cid:durableId="224799527">
    <w:abstractNumId w:val="25"/>
  </w:num>
  <w:num w:numId="19" w16cid:durableId="1849439182">
    <w:abstractNumId w:val="11"/>
  </w:num>
  <w:num w:numId="20" w16cid:durableId="431316069">
    <w:abstractNumId w:val="5"/>
  </w:num>
  <w:num w:numId="21" w16cid:durableId="1323509502">
    <w:abstractNumId w:val="1"/>
  </w:num>
  <w:num w:numId="22" w16cid:durableId="112870857">
    <w:abstractNumId w:val="16"/>
  </w:num>
  <w:num w:numId="23" w16cid:durableId="263658603">
    <w:abstractNumId w:val="17"/>
  </w:num>
  <w:num w:numId="24" w16cid:durableId="60909198">
    <w:abstractNumId w:val="0"/>
  </w:num>
  <w:num w:numId="25" w16cid:durableId="951280824">
    <w:abstractNumId w:val="27"/>
  </w:num>
  <w:num w:numId="26" w16cid:durableId="411972129">
    <w:abstractNumId w:val="20"/>
  </w:num>
  <w:num w:numId="27" w16cid:durableId="735708634">
    <w:abstractNumId w:val="13"/>
  </w:num>
  <w:num w:numId="28" w16cid:durableId="170151174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BodyText"/>
    <w:link w:val="Heading1Char"/>
    <w:qFormat/>
    <w:pPr>
      <w:keepNext/>
      <w:keepLines/>
      <w:spacing w:after="240"/>
      <w:outlineLvl w:val="0"/>
    </w:pPr>
    <w:rPr>
      <w:rFonts w:eastAsiaTheme="majorEastAsia" w:cstheme="majorBidi"/>
      <w:b/>
      <w:bCs/>
      <w:szCs w:val="28"/>
    </w:rPr>
  </w:style>
  <w:style w:type="paragraph" w:styleId="Heading2">
    <w:name w:val="heading 2"/>
    <w:basedOn w:val="Normal"/>
    <w:next w:val="BodyText"/>
    <w:link w:val="Heading2Char"/>
    <w:semiHidden/>
    <w:unhideWhenUsed/>
    <w:qFormat/>
    <w:pPr>
      <w:keepNext/>
      <w:keepLines/>
      <w:spacing w:after="240"/>
      <w:outlineLvl w:val="1"/>
    </w:pPr>
    <w:rPr>
      <w:rFonts w:eastAsiaTheme="majorEastAsia" w:cstheme="majorBidi"/>
      <w:b/>
      <w:bCs/>
      <w:szCs w:val="26"/>
    </w:rPr>
  </w:style>
  <w:style w:type="paragraph" w:styleId="Heading3">
    <w:name w:val="heading 3"/>
    <w:basedOn w:val="Normal"/>
    <w:next w:val="BodyText"/>
    <w:link w:val="Heading3Char"/>
    <w:semiHidden/>
    <w:unhideWhenUsed/>
    <w:qFormat/>
    <w:pPr>
      <w:keepNext/>
      <w:keepLines/>
      <w:spacing w:after="240"/>
      <w:outlineLvl w:val="2"/>
    </w:pPr>
    <w:rPr>
      <w:rFonts w:eastAsiaTheme="majorEastAsia" w:cstheme="majorBidi"/>
      <w:b/>
      <w:bCs/>
    </w:rPr>
  </w:style>
  <w:style w:type="paragraph" w:styleId="Heading4">
    <w:name w:val="heading 4"/>
    <w:basedOn w:val="Normal"/>
    <w:next w:val="BodyText"/>
    <w:link w:val="Heading4Char"/>
    <w:semiHidden/>
    <w:unhideWhenUsed/>
    <w:qFormat/>
    <w:pPr>
      <w:spacing w:after="240"/>
      <w:outlineLvl w:val="3"/>
    </w:pPr>
    <w:rPr>
      <w:rFonts w:eastAsiaTheme="majorEastAsia" w:cstheme="majorBidi"/>
      <w:b/>
      <w:bCs/>
      <w:iCs/>
    </w:rPr>
  </w:style>
  <w:style w:type="paragraph" w:styleId="Heading5">
    <w:name w:val="heading 5"/>
    <w:basedOn w:val="Normal"/>
    <w:next w:val="BodyText"/>
    <w:link w:val="Heading5Char"/>
    <w:semiHidden/>
    <w:unhideWhenUsed/>
    <w:qFormat/>
    <w:pPr>
      <w:spacing w:after="240"/>
      <w:outlineLvl w:val="4"/>
    </w:pPr>
    <w:rPr>
      <w:rFonts w:eastAsiaTheme="majorEastAsia" w:cstheme="majorBidi"/>
    </w:rPr>
  </w:style>
  <w:style w:type="paragraph" w:styleId="Heading6">
    <w:name w:val="heading 6"/>
    <w:basedOn w:val="Normal"/>
    <w:next w:val="BodyText"/>
    <w:link w:val="Heading6Char"/>
    <w:semiHidden/>
    <w:unhideWhenUsed/>
    <w:qFormat/>
    <w:pPr>
      <w:spacing w:after="240"/>
      <w:outlineLvl w:val="5"/>
    </w:pPr>
    <w:rPr>
      <w:rFonts w:eastAsiaTheme="majorEastAsia" w:cstheme="majorBidi"/>
      <w:iCs/>
    </w:rPr>
  </w:style>
  <w:style w:type="paragraph" w:styleId="Heading7">
    <w:name w:val="heading 7"/>
    <w:basedOn w:val="Normal"/>
    <w:next w:val="BodyText"/>
    <w:link w:val="Heading7Char"/>
    <w:semiHidden/>
    <w:unhideWhenUsed/>
    <w:qFormat/>
    <w:pPr>
      <w:spacing w:after="240"/>
      <w:outlineLvl w:val="6"/>
    </w:pPr>
    <w:rPr>
      <w:rFonts w:eastAsiaTheme="majorEastAsia" w:cstheme="majorBidi"/>
      <w:iCs/>
    </w:rPr>
  </w:style>
  <w:style w:type="paragraph" w:styleId="Heading8">
    <w:name w:val="heading 8"/>
    <w:basedOn w:val="Normal"/>
    <w:next w:val="BodyText"/>
    <w:link w:val="Heading8Char"/>
    <w:semiHidden/>
    <w:unhideWhenUsed/>
    <w:qFormat/>
    <w:pPr>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ing1Char">
    <w:name w:val="Heading 1 Char"/>
    <w:basedOn w:val="DefaultParagraphFont"/>
    <w:link w:val="Heading1"/>
    <w:rPr>
      <w:rFonts w:eastAsiaTheme="majorEastAsia" w:cstheme="majorBidi"/>
      <w:b/>
      <w:bCs/>
      <w:szCs w:val="28"/>
    </w:r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lang w:val="en-CA"/>
    </w:rPr>
  </w:style>
  <w:style w:type="character" w:customStyle="1" w:styleId="Heading2Char">
    <w:name w:val="Heading 2 Char"/>
    <w:basedOn w:val="DefaultParagraphFont"/>
    <w:link w:val="Heading2"/>
    <w:semiHidden/>
    <w:rPr>
      <w:rFonts w:eastAsiaTheme="majorEastAsia" w:cstheme="majorBidi"/>
      <w:b/>
      <w:bCs/>
      <w:szCs w:val="26"/>
    </w:rPr>
  </w:style>
  <w:style w:type="character" w:customStyle="1" w:styleId="Heading3Char">
    <w:name w:val="Heading 3 Char"/>
    <w:basedOn w:val="DefaultParagraphFont"/>
    <w:link w:val="Heading3"/>
    <w:semiHidden/>
    <w:rPr>
      <w:rFonts w:eastAsiaTheme="majorEastAsia" w:cstheme="majorBidi"/>
      <w:b/>
      <w:bCs/>
    </w:rPr>
  </w:style>
  <w:style w:type="character" w:customStyle="1" w:styleId="Heading4Char">
    <w:name w:val="Heading 4 Char"/>
    <w:basedOn w:val="DefaultParagraphFont"/>
    <w:link w:val="Heading4"/>
    <w:semiHidden/>
    <w:rPr>
      <w:rFonts w:eastAsiaTheme="majorEastAsia" w:cstheme="majorBidi"/>
      <w:b/>
      <w:bCs/>
      <w:iCs/>
    </w:rPr>
  </w:style>
  <w:style w:type="character" w:customStyle="1" w:styleId="Heading5Char">
    <w:name w:val="Heading 5 Char"/>
    <w:basedOn w:val="DefaultParagraphFont"/>
    <w:link w:val="Heading5"/>
    <w:semiHidden/>
    <w:rPr>
      <w:rFonts w:eastAsiaTheme="majorEastAsia" w:cstheme="majorBidi"/>
    </w:rPr>
  </w:style>
  <w:style w:type="character" w:customStyle="1" w:styleId="Heading6Char">
    <w:name w:val="Heading 6 Char"/>
    <w:basedOn w:val="DefaultParagraphFont"/>
    <w:link w:val="Heading6"/>
    <w:semiHidden/>
    <w:rPr>
      <w:rFonts w:eastAsiaTheme="majorEastAsia" w:cstheme="majorBidi"/>
      <w:iCs/>
    </w:rPr>
  </w:style>
  <w:style w:type="character" w:customStyle="1" w:styleId="Heading7Char">
    <w:name w:val="Heading 7 Char"/>
    <w:basedOn w:val="DefaultParagraphFont"/>
    <w:link w:val="Heading7"/>
    <w:semiHidden/>
    <w:rPr>
      <w:rFonts w:eastAsiaTheme="majorEastAsia" w:cstheme="majorBidi"/>
      <w:iCs/>
    </w:rPr>
  </w:style>
  <w:style w:type="character" w:customStyle="1" w:styleId="Heading8Char">
    <w:name w:val="Heading 8 Char"/>
    <w:basedOn w:val="DefaultParagraphFont"/>
    <w:link w:val="Heading8"/>
    <w:semiHidden/>
    <w:rPr>
      <w:rFonts w:eastAsiaTheme="majorEastAsia" w:cstheme="majorBidi"/>
      <w:szCs w:val="20"/>
    </w:rPr>
  </w:style>
  <w:style w:type="character" w:customStyle="1" w:styleId="Heading9Char">
    <w:name w:val="Heading 9 Char"/>
    <w:basedOn w:val="DefaultParagraphFont"/>
    <w:link w:val="Heading9"/>
    <w:semiHidden/>
    <w:rPr>
      <w:rFonts w:eastAsiaTheme="majorEastAsia" w:cstheme="majorBidi"/>
      <w:iCs/>
      <w:szCs w:val="20"/>
    </w:rPr>
  </w:style>
  <w:style w:type="paragraph" w:styleId="BlockText">
    <w:name w:val="Block Text"/>
    <w:basedOn w:val="Normal"/>
    <w:link w:val="BlockTextChar"/>
    <w:qFormat/>
    <w:pPr>
      <w:spacing w:after="240"/>
    </w:pPr>
    <w:rPr>
      <w:rFonts w:eastAsiaTheme="minorEastAsia"/>
      <w:iCs/>
    </w:rPr>
  </w:style>
  <w:style w:type="paragraph" w:styleId="BodyText2">
    <w:name w:val="Body Text 2"/>
    <w:basedOn w:val="Normal"/>
    <w:link w:val="BodyText2Char"/>
    <w:qFormat/>
    <w:pPr>
      <w:spacing w:line="480" w:lineRule="auto"/>
      <w:ind w:firstLine="144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Cs w:val="16"/>
    </w:rPr>
  </w:style>
  <w:style w:type="character" w:customStyle="1" w:styleId="BodyText3Char">
    <w:name w:val="Body Text 3 Char"/>
    <w:basedOn w:val="DefaultParagraphFont"/>
    <w:link w:val="BodyText3"/>
    <w:rPr>
      <w:szCs w:val="16"/>
    </w:rPr>
  </w:style>
  <w:style w:type="paragraph" w:styleId="Title">
    <w:name w:val="Title"/>
    <w:basedOn w:val="Normal"/>
    <w:next w:val="BodyText"/>
    <w:link w:val="TitleChar"/>
    <w:uiPriority w:val="10"/>
    <w:qFormat/>
    <w:pPr>
      <w:keepNext/>
      <w:spacing w:after="240"/>
      <w:contextualSpacing/>
      <w:jc w:val="center"/>
    </w:pPr>
    <w:rPr>
      <w:rFonts w:eastAsiaTheme="majorEastAsia" w:cstheme="majorBidi"/>
      <w:kern w:val="28"/>
      <w:szCs w:val="52"/>
    </w:rPr>
  </w:style>
  <w:style w:type="character" w:customStyle="1" w:styleId="TitleChar">
    <w:name w:val="Title Char"/>
    <w:basedOn w:val="DefaultParagraphFont"/>
    <w:link w:val="Title"/>
    <w:uiPriority w:val="10"/>
    <w:rPr>
      <w:rFonts w:eastAsiaTheme="majorEastAsia" w:cstheme="majorBidi"/>
      <w:kern w:val="28"/>
      <w:szCs w:val="52"/>
    </w:rPr>
  </w:style>
  <w:style w:type="paragraph" w:customStyle="1" w:styleId="TitleL">
    <w:name w:val="Title L"/>
    <w:basedOn w:val="Normal"/>
    <w:next w:val="BodyText"/>
    <w:link w:val="TitleLChar"/>
    <w:qFormat/>
    <w:pPr>
      <w:keepNext/>
      <w:spacing w:after="240"/>
    </w:pPr>
    <w:rPr>
      <w:b/>
    </w:rPr>
  </w:style>
  <w:style w:type="character" w:customStyle="1" w:styleId="TitleLChar">
    <w:name w:val="Title L Char"/>
    <w:basedOn w:val="DefaultParagraphFont"/>
    <w:link w:val="TitleL"/>
    <w:rPr>
      <w:b/>
    </w:rPr>
  </w:style>
  <w:style w:type="character" w:customStyle="1" w:styleId="DocID">
    <w:name w:val="DocID"/>
    <w:basedOn w:val="DefaultParagraphFont"/>
    <w:semiHidden/>
    <w:rPr>
      <w:sz w:val="16"/>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TOC1">
    <w:name w:val="toc 1"/>
    <w:basedOn w:val="Normal"/>
    <w:next w:val="Normal"/>
    <w:autoRedefine/>
    <w:uiPriority w:val="39"/>
    <w:semiHidden/>
    <w:unhideWhenUsed/>
    <w:pPr>
      <w:tabs>
        <w:tab w:val="right" w:leader="dot" w:pos="9360"/>
      </w:tabs>
      <w:spacing w:after="240"/>
      <w:ind w:left="720" w:right="432" w:hanging="720"/>
    </w:pPr>
    <w:rPr>
      <w:rFonts w:cs="Times New Roman"/>
    </w:rPr>
  </w:style>
  <w:style w:type="paragraph" w:styleId="TOC2">
    <w:name w:val="toc 2"/>
    <w:basedOn w:val="Normal"/>
    <w:next w:val="Normal"/>
    <w:autoRedefine/>
    <w:uiPriority w:val="39"/>
    <w:semiHidden/>
    <w:unhideWhenUsed/>
    <w:pPr>
      <w:tabs>
        <w:tab w:val="right" w:leader="dot" w:pos="9360"/>
      </w:tabs>
      <w:spacing w:after="240"/>
      <w:ind w:left="1440" w:right="432" w:hanging="720"/>
    </w:pPr>
    <w:rPr>
      <w:rFonts w:cs="Times New Roman"/>
    </w:rPr>
  </w:style>
  <w:style w:type="paragraph" w:styleId="TOC3">
    <w:name w:val="toc 3"/>
    <w:basedOn w:val="Normal"/>
    <w:next w:val="Normal"/>
    <w:autoRedefine/>
    <w:uiPriority w:val="39"/>
    <w:semiHidden/>
    <w:unhideWhenUsed/>
    <w:pPr>
      <w:tabs>
        <w:tab w:val="right" w:leader="dot" w:pos="9360"/>
      </w:tabs>
      <w:spacing w:after="240"/>
      <w:ind w:left="2160" w:right="432" w:hanging="720"/>
    </w:pPr>
    <w:rPr>
      <w:rFonts w:cs="Times New Roman"/>
    </w:rPr>
  </w:style>
  <w:style w:type="paragraph" w:styleId="TOC4">
    <w:name w:val="toc 4"/>
    <w:basedOn w:val="Normal"/>
    <w:next w:val="Normal"/>
    <w:autoRedefine/>
    <w:uiPriority w:val="39"/>
    <w:semiHidden/>
    <w:unhideWhenUsed/>
    <w:pPr>
      <w:tabs>
        <w:tab w:val="right" w:leader="dot" w:pos="9360"/>
      </w:tabs>
      <w:spacing w:after="240"/>
      <w:ind w:left="2880" w:right="432" w:hanging="720"/>
    </w:pPr>
    <w:rPr>
      <w:rFonts w:cs="Times New Roman"/>
    </w:rPr>
  </w:style>
  <w:style w:type="paragraph" w:styleId="TOC5">
    <w:name w:val="toc 5"/>
    <w:basedOn w:val="Normal"/>
    <w:next w:val="Normal"/>
    <w:autoRedefine/>
    <w:uiPriority w:val="39"/>
    <w:semiHidden/>
    <w:unhideWhenUsed/>
    <w:pPr>
      <w:tabs>
        <w:tab w:val="right" w:leader="dot" w:pos="9360"/>
      </w:tabs>
      <w:spacing w:after="240"/>
      <w:ind w:left="3600" w:right="432" w:hanging="720"/>
    </w:pPr>
    <w:rPr>
      <w:rFonts w:cs="Times New Roman"/>
    </w:rPr>
  </w:style>
  <w:style w:type="paragraph" w:styleId="TOC6">
    <w:name w:val="toc 6"/>
    <w:basedOn w:val="Normal"/>
    <w:next w:val="Normal"/>
    <w:autoRedefine/>
    <w:uiPriority w:val="39"/>
    <w:semiHidden/>
    <w:unhideWhenUsed/>
    <w:pPr>
      <w:tabs>
        <w:tab w:val="right" w:leader="dot" w:pos="9360"/>
      </w:tabs>
      <w:spacing w:after="240"/>
      <w:ind w:left="4320" w:right="432" w:hanging="720"/>
    </w:pPr>
    <w:rPr>
      <w:rFonts w:cs="Times New Roman"/>
    </w:rPr>
  </w:style>
  <w:style w:type="paragraph" w:styleId="TOC7">
    <w:name w:val="toc 7"/>
    <w:basedOn w:val="Normal"/>
    <w:next w:val="Normal"/>
    <w:autoRedefine/>
    <w:uiPriority w:val="39"/>
    <w:semiHidden/>
    <w:unhideWhenUsed/>
    <w:pPr>
      <w:tabs>
        <w:tab w:val="right" w:leader="dot" w:pos="9360"/>
      </w:tabs>
      <w:spacing w:after="240"/>
      <w:ind w:left="5040" w:right="432" w:hanging="720"/>
    </w:pPr>
    <w:rPr>
      <w:rFonts w:cs="Times New Roman"/>
    </w:rPr>
  </w:style>
  <w:style w:type="paragraph" w:styleId="TOC8">
    <w:name w:val="toc 8"/>
    <w:basedOn w:val="Normal"/>
    <w:next w:val="Normal"/>
    <w:autoRedefine/>
    <w:uiPriority w:val="39"/>
    <w:semiHidden/>
    <w:unhideWhenUsed/>
    <w:pPr>
      <w:tabs>
        <w:tab w:val="right" w:leader="dot" w:pos="9360"/>
      </w:tabs>
      <w:spacing w:after="240"/>
      <w:ind w:left="5760" w:right="432" w:hanging="720"/>
    </w:pPr>
    <w:rPr>
      <w:rFonts w:cs="Times New Roman"/>
    </w:rPr>
  </w:style>
  <w:style w:type="paragraph" w:styleId="TOC9">
    <w:name w:val="toc 9"/>
    <w:basedOn w:val="Normal"/>
    <w:next w:val="Normal"/>
    <w:autoRedefine/>
    <w:uiPriority w:val="39"/>
    <w:semiHidden/>
    <w:unhideWhenUsed/>
    <w:pPr>
      <w:tabs>
        <w:tab w:val="right" w:leader="dot" w:pos="9360"/>
      </w:tabs>
      <w:spacing w:after="240"/>
      <w:ind w:left="6480" w:right="432" w:hanging="720"/>
    </w:pPr>
    <w:rPr>
      <w:rFonts w:cs="Times New Roman"/>
    </w:rPr>
  </w:style>
  <w:style w:type="paragraph" w:styleId="TOCHeading">
    <w:name w:val="TOC Heading"/>
    <w:basedOn w:val="Normal"/>
    <w:next w:val="Normal"/>
    <w:uiPriority w:val="39"/>
    <w:semiHidden/>
    <w:qFormat/>
    <w:pPr>
      <w:keepNext/>
      <w:spacing w:after="240"/>
      <w:jc w:val="center"/>
    </w:pPr>
    <w:rPr>
      <w:rFonts w:cstheme="majorBidi"/>
      <w:b/>
    </w:rPr>
  </w:style>
  <w:style w:type="paragraph" w:styleId="Subtitle">
    <w:name w:val="Subtitle"/>
    <w:basedOn w:val="Normal"/>
    <w:next w:val="BodyText"/>
    <w:link w:val="SubtitleChar"/>
    <w:semiHidden/>
    <w:qFormat/>
    <w:pPr>
      <w:numPr>
        <w:ilvl w:val="1"/>
      </w:numPr>
      <w:spacing w:after="240"/>
    </w:pPr>
    <w:rPr>
      <w:rFonts w:eastAsiaTheme="majorEastAsia" w:cstheme="majorBidi"/>
      <w:iCs/>
    </w:rPr>
  </w:style>
  <w:style w:type="paragraph" w:styleId="TOAHeading">
    <w:name w:val="toa heading"/>
    <w:basedOn w:val="Normal"/>
    <w:next w:val="Normal"/>
    <w:uiPriority w:val="99"/>
    <w:semiHidden/>
    <w:unhideWhenUsed/>
    <w:pPr>
      <w:spacing w:after="240"/>
    </w:pPr>
    <w:rPr>
      <w:rFonts w:eastAsiaTheme="majorEastAsia" w:cstheme="majorBidi"/>
      <w:b/>
      <w:bCs/>
    </w:rPr>
  </w:style>
  <w:style w:type="paragraph" w:customStyle="1" w:styleId="BlockText5">
    <w:name w:val="Block Text .5"/>
    <w:basedOn w:val="Normal"/>
    <w:qFormat/>
    <w:pPr>
      <w:spacing w:after="240"/>
      <w:ind w:left="720" w:right="720"/>
    </w:pPr>
  </w:style>
  <w:style w:type="paragraph" w:customStyle="1" w:styleId="BlockText1">
    <w:name w:val="Block Text 1"/>
    <w:basedOn w:val="Normal"/>
    <w:qFormat/>
    <w:pPr>
      <w:spacing w:after="240"/>
      <w:ind w:left="1440" w:right="1440"/>
    </w:pPr>
  </w:style>
  <w:style w:type="paragraph" w:customStyle="1" w:styleId="BlockTextJ">
    <w:name w:val="Block Text J"/>
    <w:basedOn w:val="Normal"/>
    <w:qFormat/>
    <w:pPr>
      <w:spacing w:after="240"/>
      <w:jc w:val="both"/>
    </w:pPr>
  </w:style>
  <w:style w:type="paragraph" w:customStyle="1" w:styleId="BodyText2J">
    <w:name w:val="Body Text 2 J"/>
    <w:basedOn w:val="BodyText2"/>
    <w:link w:val="BodyText2JChar"/>
    <w:qFormat/>
    <w:pPr>
      <w:jc w:val="both"/>
    </w:pPr>
  </w:style>
  <w:style w:type="character" w:customStyle="1" w:styleId="BodyText2JChar">
    <w:name w:val="Body Text 2 J Char"/>
    <w:basedOn w:val="BodyText2Char"/>
    <w:link w:val="BodyText2J"/>
  </w:style>
  <w:style w:type="paragraph" w:customStyle="1" w:styleId="BodyText3J">
    <w:name w:val="Body Text 3 J"/>
    <w:basedOn w:val="BodyText3"/>
    <w:link w:val="BodyText3JChar"/>
    <w:qFormat/>
    <w:pPr>
      <w:jc w:val="both"/>
    </w:pPr>
  </w:style>
  <w:style w:type="character" w:customStyle="1" w:styleId="BodyText3JChar">
    <w:name w:val="Body Text 3 J Char"/>
    <w:basedOn w:val="BodyText3Char"/>
    <w:link w:val="BodyText3J"/>
    <w:rPr>
      <w:szCs w:val="16"/>
    </w:rPr>
  </w:style>
  <w:style w:type="paragraph" w:customStyle="1" w:styleId="BodyTextJ">
    <w:name w:val="Body Text J"/>
    <w:basedOn w:val="BodyText"/>
    <w:link w:val="BodyTextJChar"/>
    <w:qFormat/>
    <w:pPr>
      <w:jc w:val="both"/>
    </w:pPr>
  </w:style>
  <w:style w:type="character" w:customStyle="1" w:styleId="BodyTextJChar">
    <w:name w:val="Body Text J Char"/>
    <w:basedOn w:val="BodyTextChar"/>
    <w:link w:val="BodyTextJ"/>
    <w:rPr>
      <w:lang w:val="en-CA"/>
    </w:rPr>
  </w:style>
  <w:style w:type="character" w:customStyle="1" w:styleId="SubtitleChar">
    <w:name w:val="Subtitle Char"/>
    <w:basedOn w:val="DefaultParagraphFont"/>
    <w:link w:val="Subtitle"/>
    <w:semiHidden/>
    <w:rPr>
      <w:rFonts w:eastAsiaTheme="majorEastAsia" w:cstheme="majorBidi"/>
      <w:iCs/>
    </w:rPr>
  </w:style>
  <w:style w:type="paragraph" w:customStyle="1" w:styleId="BodyTextNumbered">
    <w:name w:val="Body Text Numbered"/>
    <w:basedOn w:val="Normal"/>
    <w:qFormat/>
    <w:pPr>
      <w:numPr>
        <w:numId w:val="1"/>
      </w:numPr>
      <w:spacing w:after="240"/>
    </w:pPr>
  </w:style>
  <w:style w:type="paragraph" w:styleId="Date">
    <w:name w:val="Date"/>
    <w:basedOn w:val="Normal"/>
    <w:next w:val="Normal"/>
    <w:link w:val="DateChar"/>
    <w:uiPriority w:val="99"/>
    <w:semiHidden/>
    <w:unhideWhenUsed/>
    <w:pPr>
      <w:spacing w:after="240"/>
    </w:pPr>
  </w:style>
  <w:style w:type="character" w:customStyle="1" w:styleId="DateChar">
    <w:name w:val="Date Char"/>
    <w:basedOn w:val="DefaultParagraphFont"/>
    <w:link w:val="Date"/>
    <w:uiPriority w:val="99"/>
    <w:semiHidden/>
  </w:style>
  <w:style w:type="paragraph" w:customStyle="1" w:styleId="HangingIndent">
    <w:name w:val="Hanging Indent"/>
    <w:basedOn w:val="BlockText"/>
    <w:link w:val="HangingIndentChar"/>
    <w:qFormat/>
    <w:pPr>
      <w:ind w:left="2160" w:hanging="2160"/>
    </w:pPr>
  </w:style>
  <w:style w:type="character" w:customStyle="1" w:styleId="BlockTextChar">
    <w:name w:val="Block Text Char"/>
    <w:basedOn w:val="DefaultParagraphFont"/>
    <w:link w:val="BlockText"/>
    <w:rPr>
      <w:rFonts w:eastAsiaTheme="minorEastAsia"/>
      <w:iCs/>
    </w:rPr>
  </w:style>
  <w:style w:type="character" w:customStyle="1" w:styleId="HangingIndentChar">
    <w:name w:val="Hanging Indent Char"/>
    <w:basedOn w:val="BlockTextChar"/>
    <w:link w:val="HangingIndent"/>
    <w:rPr>
      <w:rFonts w:eastAsiaTheme="minorEastAsia"/>
      <w:iCs/>
    </w:rPr>
  </w:style>
  <w:style w:type="paragraph" w:styleId="FootnoteText">
    <w:name w:val="footnote text"/>
    <w:basedOn w:val="Normal"/>
    <w:next w:val="FootnoteTextMore"/>
    <w:link w:val="FootnoteTextChar"/>
    <w:semiHidden/>
    <w:pPr>
      <w:spacing w:after="200"/>
      <w:ind w:left="720" w:hanging="720"/>
    </w:pPr>
    <w:rPr>
      <w:sz w:val="20"/>
      <w:szCs w:val="20"/>
    </w:rPr>
  </w:style>
  <w:style w:type="character" w:customStyle="1" w:styleId="FootnoteTextChar">
    <w:name w:val="Footnote Text Char"/>
    <w:basedOn w:val="DefaultParagraphFont"/>
    <w:link w:val="FootnoteText"/>
    <w:semiHidden/>
    <w:rPr>
      <w:sz w:val="20"/>
      <w:szCs w:val="20"/>
    </w:rPr>
  </w:style>
  <w:style w:type="paragraph" w:customStyle="1" w:styleId="FootnoteTextMore">
    <w:name w:val="Footnote TextMore"/>
    <w:basedOn w:val="FootnoteText"/>
    <w:link w:val="FootnoteTextMoreChar"/>
    <w:qFormat/>
    <w:pPr>
      <w:ind w:left="0" w:firstLine="0"/>
    </w:pPr>
  </w:style>
  <w:style w:type="character" w:customStyle="1" w:styleId="FootnoteTextMoreChar">
    <w:name w:val="Footnote TextMore Char"/>
    <w:basedOn w:val="FootnoteTextChar"/>
    <w:link w:val="FootnoteTextMore"/>
    <w:rPr>
      <w:sz w:val="20"/>
      <w:szCs w:val="20"/>
    </w:rPr>
  </w:style>
  <w:style w:type="paragraph" w:styleId="EndnoteText">
    <w:name w:val="endnote text"/>
    <w:basedOn w:val="Normal"/>
    <w:next w:val="EndnoteTextMore"/>
    <w:link w:val="EndnoteTextChar"/>
    <w:pPr>
      <w:spacing w:after="200"/>
      <w:ind w:left="720" w:hanging="720"/>
    </w:pPr>
    <w:rPr>
      <w:sz w:val="20"/>
      <w:szCs w:val="20"/>
    </w:rPr>
  </w:style>
  <w:style w:type="character" w:customStyle="1" w:styleId="EndnoteTextChar">
    <w:name w:val="Endnote Text Char"/>
    <w:basedOn w:val="DefaultParagraphFont"/>
    <w:link w:val="EndnoteText"/>
    <w:rPr>
      <w:sz w:val="20"/>
      <w:szCs w:val="20"/>
    </w:rPr>
  </w:style>
  <w:style w:type="paragraph" w:customStyle="1" w:styleId="EndnoteTextMore">
    <w:name w:val="Endnote TextMore"/>
    <w:basedOn w:val="EndnoteText"/>
    <w:link w:val="EndnoteTextMoreChar"/>
    <w:qFormat/>
    <w:pPr>
      <w:ind w:left="0" w:firstLine="0"/>
    </w:pPr>
  </w:style>
  <w:style w:type="character" w:customStyle="1" w:styleId="EndnoteTextMoreChar">
    <w:name w:val="Endnote TextMore Char"/>
    <w:basedOn w:val="EndnoteTextChar"/>
    <w:link w:val="EndnoteTextMore"/>
    <w:semiHidden/>
    <w:rPr>
      <w:sz w:val="20"/>
      <w:szCs w:val="20"/>
    </w:rPr>
  </w:style>
  <w:style w:type="paragraph" w:customStyle="1" w:styleId="Table">
    <w:name w:val="Table"/>
    <w:basedOn w:val="Normal"/>
    <w:link w:val="TableChar"/>
    <w:qFormat/>
  </w:style>
  <w:style w:type="character" w:customStyle="1" w:styleId="TableChar">
    <w:name w:val="Table Char"/>
    <w:basedOn w:val="DefaultParagraphFont"/>
    <w:link w:val="Table"/>
  </w:style>
  <w:style w:type="paragraph" w:customStyle="1" w:styleId="BulletedList">
    <w:name w:val="Bulleted List"/>
    <w:basedOn w:val="Normal"/>
    <w:qFormat/>
    <w:pPr>
      <w:numPr>
        <w:numId w:val="2"/>
      </w:numPr>
      <w:spacing w:after="240"/>
    </w:p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customStyle="1" w:styleId="UK10Block">
    <w:name w:val="UK10 Block"/>
    <w:basedOn w:val="Normal"/>
    <w:pPr>
      <w:spacing w:after="240" w:line="246" w:lineRule="atLeast"/>
      <w:jc w:val="both"/>
    </w:pPr>
    <w:rPr>
      <w:rFonts w:eastAsia="Times New Roman" w:cs="Times New Roman"/>
      <w:sz w:val="20"/>
      <w:szCs w:val="20"/>
    </w:rPr>
  </w:style>
  <w:style w:type="paragraph" w:customStyle="1" w:styleId="UK10Block05">
    <w:name w:val="UK10 Block 0.5"/>
    <w:basedOn w:val="Normal"/>
    <w:pPr>
      <w:spacing w:after="240" w:line="246" w:lineRule="atLeast"/>
      <w:ind w:left="720"/>
      <w:jc w:val="both"/>
    </w:pPr>
    <w:rPr>
      <w:rFonts w:eastAsia="Times New Roman" w:cs="Times New Roman"/>
      <w:sz w:val="20"/>
      <w:szCs w:val="20"/>
    </w:rPr>
  </w:style>
  <w:style w:type="paragraph" w:customStyle="1" w:styleId="UK10Block10">
    <w:name w:val="UK10 Block 1.0"/>
    <w:basedOn w:val="Normal"/>
    <w:pPr>
      <w:spacing w:after="240" w:line="246" w:lineRule="atLeast"/>
      <w:ind w:left="1440"/>
      <w:jc w:val="both"/>
    </w:pPr>
    <w:rPr>
      <w:rFonts w:eastAsia="Times New Roman" w:cs="Times New Roman"/>
      <w:sz w:val="20"/>
      <w:szCs w:val="20"/>
    </w:rPr>
  </w:style>
  <w:style w:type="paragraph" w:customStyle="1" w:styleId="UK10Block15">
    <w:name w:val="UK10 Block 1.5"/>
    <w:basedOn w:val="Normal"/>
    <w:pPr>
      <w:spacing w:after="240" w:line="246" w:lineRule="atLeast"/>
      <w:ind w:left="2160"/>
      <w:jc w:val="both"/>
    </w:pPr>
    <w:rPr>
      <w:rFonts w:eastAsia="Times New Roman" w:cs="Times New Roman"/>
      <w:sz w:val="20"/>
      <w:szCs w:val="20"/>
    </w:rPr>
  </w:style>
  <w:style w:type="paragraph" w:customStyle="1" w:styleId="UK10Block20">
    <w:name w:val="UK10 Block 2.0"/>
    <w:basedOn w:val="Normal"/>
    <w:pPr>
      <w:spacing w:after="240" w:line="246" w:lineRule="atLeast"/>
      <w:ind w:left="2880"/>
      <w:jc w:val="both"/>
    </w:pPr>
    <w:rPr>
      <w:rFonts w:eastAsia="Times New Roman" w:cs="Times New Roman"/>
      <w:sz w:val="20"/>
      <w:szCs w:val="20"/>
    </w:rPr>
  </w:style>
  <w:style w:type="paragraph" w:customStyle="1" w:styleId="UK10Block25">
    <w:name w:val="UK10 Block 2.5"/>
    <w:basedOn w:val="Normal"/>
    <w:pPr>
      <w:spacing w:after="240" w:line="246" w:lineRule="atLeast"/>
      <w:ind w:left="3600"/>
      <w:jc w:val="both"/>
    </w:pPr>
    <w:rPr>
      <w:rFonts w:eastAsia="Times New Roman" w:cs="Times New Roman"/>
      <w:sz w:val="20"/>
      <w:szCs w:val="20"/>
    </w:rPr>
  </w:style>
  <w:style w:type="paragraph" w:customStyle="1" w:styleId="UK10Block30">
    <w:name w:val="UK10 Block 3.0"/>
    <w:basedOn w:val="Normal"/>
    <w:pPr>
      <w:spacing w:after="240" w:line="246" w:lineRule="atLeast"/>
      <w:ind w:left="4320"/>
      <w:jc w:val="both"/>
    </w:pPr>
    <w:rPr>
      <w:rFonts w:eastAsia="Times New Roman" w:cs="Times New Roman"/>
      <w:sz w:val="20"/>
      <w:szCs w:val="20"/>
    </w:rPr>
  </w:style>
  <w:style w:type="paragraph" w:customStyle="1" w:styleId="UK10Title">
    <w:name w:val="UK10 Title"/>
    <w:basedOn w:val="Normal"/>
    <w:next w:val="UK10Block"/>
    <w:pPr>
      <w:spacing w:after="240" w:line="246" w:lineRule="atLeast"/>
      <w:jc w:val="center"/>
    </w:pPr>
    <w:rPr>
      <w:rFonts w:eastAsia="Times New Roman" w:cs="Times New Roman"/>
      <w:b/>
      <w:kern w:val="28"/>
      <w:sz w:val="20"/>
      <w:szCs w:val="20"/>
    </w:rPr>
  </w:style>
  <w:style w:type="paragraph" w:customStyle="1" w:styleId="UK11Block">
    <w:name w:val="UK11 Block"/>
    <w:basedOn w:val="Normal"/>
    <w:pPr>
      <w:spacing w:after="240" w:line="246" w:lineRule="atLeast"/>
      <w:jc w:val="both"/>
    </w:pPr>
    <w:rPr>
      <w:rFonts w:eastAsia="Times New Roman" w:cs="Times New Roman"/>
      <w:sz w:val="22"/>
      <w:szCs w:val="20"/>
    </w:rPr>
  </w:style>
  <w:style w:type="paragraph" w:customStyle="1" w:styleId="UK11Block05">
    <w:name w:val="UK11 Block 0.5"/>
    <w:basedOn w:val="Normal"/>
    <w:pPr>
      <w:spacing w:after="240" w:line="246" w:lineRule="atLeast"/>
      <w:ind w:left="720"/>
      <w:jc w:val="both"/>
    </w:pPr>
    <w:rPr>
      <w:rFonts w:eastAsia="Times New Roman" w:cs="Times New Roman"/>
      <w:sz w:val="22"/>
      <w:szCs w:val="20"/>
    </w:rPr>
  </w:style>
  <w:style w:type="paragraph" w:customStyle="1" w:styleId="UK11Block10">
    <w:name w:val="UK11 Block 1.0"/>
    <w:basedOn w:val="Normal"/>
    <w:pPr>
      <w:spacing w:after="240" w:line="246" w:lineRule="atLeast"/>
      <w:ind w:left="1440"/>
      <w:jc w:val="both"/>
    </w:pPr>
    <w:rPr>
      <w:rFonts w:eastAsia="Times New Roman" w:cs="Times New Roman"/>
      <w:sz w:val="22"/>
      <w:szCs w:val="20"/>
    </w:rPr>
  </w:style>
  <w:style w:type="paragraph" w:customStyle="1" w:styleId="UK11Block15">
    <w:name w:val="UK11 Block 1.5"/>
    <w:basedOn w:val="Normal"/>
    <w:pPr>
      <w:spacing w:after="240" w:line="246" w:lineRule="atLeast"/>
      <w:ind w:left="2160"/>
      <w:jc w:val="both"/>
    </w:pPr>
    <w:rPr>
      <w:rFonts w:eastAsia="Times New Roman" w:cs="Times New Roman"/>
      <w:sz w:val="22"/>
      <w:szCs w:val="20"/>
    </w:rPr>
  </w:style>
  <w:style w:type="paragraph" w:customStyle="1" w:styleId="UK11Block20">
    <w:name w:val="UK11 Block 2.0"/>
    <w:basedOn w:val="Normal"/>
    <w:pPr>
      <w:spacing w:after="240" w:line="246" w:lineRule="atLeast"/>
      <w:ind w:left="2880"/>
      <w:jc w:val="both"/>
    </w:pPr>
    <w:rPr>
      <w:rFonts w:eastAsia="Times New Roman" w:cs="Times New Roman"/>
      <w:sz w:val="22"/>
      <w:szCs w:val="20"/>
    </w:rPr>
  </w:style>
  <w:style w:type="paragraph" w:customStyle="1" w:styleId="UK11Block25">
    <w:name w:val="UK11 Block 2.5"/>
    <w:basedOn w:val="Normal"/>
    <w:pPr>
      <w:spacing w:after="240" w:line="246" w:lineRule="atLeast"/>
      <w:ind w:left="3600"/>
      <w:jc w:val="both"/>
    </w:pPr>
    <w:rPr>
      <w:rFonts w:eastAsia="Times New Roman" w:cs="Times New Roman"/>
      <w:sz w:val="22"/>
      <w:szCs w:val="20"/>
    </w:rPr>
  </w:style>
  <w:style w:type="paragraph" w:customStyle="1" w:styleId="UK11Block30">
    <w:name w:val="UK11 Block 3.0"/>
    <w:basedOn w:val="Normal"/>
    <w:pPr>
      <w:spacing w:after="240" w:line="246" w:lineRule="atLeast"/>
      <w:ind w:left="4320"/>
      <w:jc w:val="both"/>
    </w:pPr>
    <w:rPr>
      <w:rFonts w:eastAsia="Times New Roman" w:cs="Times New Roman"/>
      <w:sz w:val="22"/>
      <w:szCs w:val="20"/>
    </w:rPr>
  </w:style>
  <w:style w:type="paragraph" w:customStyle="1" w:styleId="UK11Title">
    <w:name w:val="UK11 Title"/>
    <w:basedOn w:val="Normal"/>
    <w:next w:val="UK11Block"/>
    <w:pPr>
      <w:spacing w:after="240" w:line="246" w:lineRule="atLeast"/>
      <w:jc w:val="center"/>
    </w:pPr>
    <w:rPr>
      <w:rFonts w:eastAsia="Times New Roman" w:cs="Times New Roman"/>
      <w:b/>
      <w:kern w:val="28"/>
      <w:sz w:val="22"/>
      <w:szCs w:val="20"/>
    </w:rPr>
  </w:style>
  <w:style w:type="paragraph" w:customStyle="1" w:styleId="UK12Block">
    <w:name w:val="UK12 Block"/>
    <w:basedOn w:val="Normal"/>
    <w:pPr>
      <w:spacing w:after="240" w:line="246" w:lineRule="atLeast"/>
      <w:jc w:val="both"/>
    </w:pPr>
    <w:rPr>
      <w:rFonts w:eastAsia="Times New Roman" w:cs="Times New Roman"/>
      <w:szCs w:val="20"/>
    </w:rPr>
  </w:style>
  <w:style w:type="paragraph" w:customStyle="1" w:styleId="UK12Block05">
    <w:name w:val="UK12 Block 0.5"/>
    <w:basedOn w:val="Normal"/>
    <w:pPr>
      <w:spacing w:after="240" w:line="246" w:lineRule="atLeast"/>
      <w:ind w:left="720"/>
      <w:jc w:val="both"/>
    </w:pPr>
    <w:rPr>
      <w:rFonts w:eastAsia="Times New Roman" w:cs="Times New Roman"/>
      <w:szCs w:val="20"/>
    </w:rPr>
  </w:style>
  <w:style w:type="paragraph" w:customStyle="1" w:styleId="UK12Block10">
    <w:name w:val="UK12 Block 1.0"/>
    <w:basedOn w:val="Normal"/>
    <w:pPr>
      <w:spacing w:after="240" w:line="246" w:lineRule="atLeast"/>
      <w:ind w:left="1440"/>
      <w:jc w:val="both"/>
    </w:pPr>
    <w:rPr>
      <w:rFonts w:eastAsia="Times New Roman" w:cs="Times New Roman"/>
      <w:szCs w:val="20"/>
    </w:rPr>
  </w:style>
  <w:style w:type="paragraph" w:customStyle="1" w:styleId="UK12Block15">
    <w:name w:val="UK12 Block 1.5"/>
    <w:basedOn w:val="Normal"/>
    <w:pPr>
      <w:spacing w:after="240" w:line="246" w:lineRule="atLeast"/>
      <w:ind w:left="2160"/>
      <w:jc w:val="both"/>
    </w:pPr>
    <w:rPr>
      <w:rFonts w:eastAsia="Times New Roman" w:cs="Times New Roman"/>
      <w:szCs w:val="20"/>
    </w:rPr>
  </w:style>
  <w:style w:type="paragraph" w:customStyle="1" w:styleId="UK12Block20">
    <w:name w:val="UK12 Block 2.0"/>
    <w:basedOn w:val="Normal"/>
    <w:pPr>
      <w:spacing w:after="240" w:line="246" w:lineRule="atLeast"/>
      <w:ind w:left="2880"/>
      <w:jc w:val="both"/>
    </w:pPr>
    <w:rPr>
      <w:rFonts w:eastAsia="Times New Roman" w:cs="Times New Roman"/>
      <w:szCs w:val="20"/>
    </w:rPr>
  </w:style>
  <w:style w:type="paragraph" w:customStyle="1" w:styleId="UK12Block25">
    <w:name w:val="UK12 Block 2.5"/>
    <w:basedOn w:val="Normal"/>
    <w:pPr>
      <w:spacing w:after="240" w:line="246" w:lineRule="atLeast"/>
      <w:ind w:left="3600"/>
      <w:jc w:val="both"/>
    </w:pPr>
    <w:rPr>
      <w:rFonts w:eastAsia="Times New Roman" w:cs="Times New Roman"/>
      <w:szCs w:val="20"/>
    </w:rPr>
  </w:style>
  <w:style w:type="paragraph" w:customStyle="1" w:styleId="UK12Block30">
    <w:name w:val="UK12 Block 3.0"/>
    <w:basedOn w:val="Normal"/>
    <w:pPr>
      <w:spacing w:after="240" w:line="246" w:lineRule="atLeast"/>
      <w:ind w:left="4320"/>
      <w:jc w:val="both"/>
    </w:pPr>
    <w:rPr>
      <w:rFonts w:eastAsia="Times New Roman" w:cs="Times New Roman"/>
      <w:szCs w:val="20"/>
    </w:rPr>
  </w:style>
  <w:style w:type="paragraph" w:customStyle="1" w:styleId="UK12Title">
    <w:name w:val="UK12 Title"/>
    <w:basedOn w:val="Normal"/>
    <w:next w:val="UK12Block"/>
    <w:pPr>
      <w:spacing w:after="240" w:line="246" w:lineRule="atLeast"/>
      <w:jc w:val="center"/>
    </w:pPr>
    <w:rPr>
      <w:rFonts w:eastAsia="Times New Roman" w:cs="Times New Roman"/>
      <w:b/>
      <w:kern w:val="28"/>
      <w:szCs w:val="20"/>
    </w:rPr>
  </w:style>
  <w:style w:type="paragraph" w:customStyle="1" w:styleId="PAIAContinuousNumbering">
    <w:name w:val="PA / IA Continuous Numbering"/>
    <w:pPr>
      <w:numPr>
        <w:numId w:val="3"/>
      </w:numPr>
      <w:spacing w:after="240" w:line="360" w:lineRule="auto"/>
    </w:pPr>
    <w:rPr>
      <w:rFonts w:eastAsia="Times New Roman" w:cs="Times New Roman"/>
      <w:szCs w:val="20"/>
      <w:lang w:val="en-CA"/>
    </w:rPr>
  </w:style>
  <w:style w:type="paragraph" w:customStyle="1" w:styleId="PAIAQuotes">
    <w:name w:val="PA / IA Quotes"/>
    <w:pPr>
      <w:spacing w:after="240"/>
      <w:ind w:left="1440" w:right="1440"/>
    </w:pPr>
    <w:rPr>
      <w:rFonts w:eastAsia="Times New Roman" w:cs="Times New Roman"/>
      <w:i/>
      <w:szCs w:val="20"/>
      <w:lang w:val="en-CA"/>
    </w:rPr>
  </w:style>
  <w:style w:type="paragraph" w:customStyle="1" w:styleId="PAAlphaList">
    <w:name w:val="PA Alpha List"/>
    <w:basedOn w:val="Normal"/>
    <w:pPr>
      <w:numPr>
        <w:numId w:val="4"/>
      </w:numPr>
      <w:spacing w:after="120"/>
      <w:jc w:val="both"/>
    </w:pPr>
    <w:rPr>
      <w:rFonts w:eastAsia="Times New Roman" w:cs="Times New Roman"/>
      <w:szCs w:val="20"/>
      <w:lang w:val="fr-FR"/>
    </w:rPr>
  </w:style>
  <w:style w:type="paragraph" w:customStyle="1" w:styleId="PAAlphaListindent05">
    <w:name w:val="PA Alpha List indent 0.5"/>
    <w:basedOn w:val="Normal"/>
    <w:pPr>
      <w:numPr>
        <w:numId w:val="5"/>
      </w:numPr>
      <w:spacing w:after="120"/>
      <w:jc w:val="both"/>
    </w:pPr>
    <w:rPr>
      <w:rFonts w:eastAsia="Times New Roman" w:cs="Times New Roman"/>
      <w:szCs w:val="20"/>
      <w:lang w:val="fr-FR"/>
    </w:rPr>
  </w:style>
  <w:style w:type="paragraph" w:customStyle="1" w:styleId="PAAlphaListindent1">
    <w:name w:val="PA Alpha List indent 1"/>
    <w:basedOn w:val="Normal"/>
    <w:pPr>
      <w:numPr>
        <w:numId w:val="6"/>
      </w:numPr>
      <w:spacing w:after="120"/>
      <w:jc w:val="both"/>
    </w:pPr>
    <w:rPr>
      <w:rFonts w:eastAsia="Times New Roman" w:cs="Times New Roman"/>
      <w:szCs w:val="20"/>
      <w:lang w:val="fr-FR"/>
    </w:rPr>
  </w:style>
  <w:style w:type="paragraph" w:customStyle="1" w:styleId="PAAlphaListindent15">
    <w:name w:val="PA Alpha List indent 1.5"/>
    <w:basedOn w:val="Normal"/>
    <w:pPr>
      <w:numPr>
        <w:numId w:val="7"/>
      </w:numPr>
      <w:spacing w:after="120"/>
      <w:jc w:val="both"/>
    </w:pPr>
    <w:rPr>
      <w:rFonts w:eastAsia="Times New Roman" w:cs="Times New Roman"/>
      <w:szCs w:val="20"/>
      <w:lang w:val="fr-FR"/>
    </w:rPr>
  </w:style>
  <w:style w:type="paragraph" w:customStyle="1" w:styleId="PAAlphaListindent2">
    <w:name w:val="PA Alpha List indent 2"/>
    <w:basedOn w:val="Normal"/>
    <w:pPr>
      <w:numPr>
        <w:numId w:val="8"/>
      </w:numPr>
      <w:spacing w:after="120"/>
      <w:jc w:val="both"/>
    </w:pPr>
    <w:rPr>
      <w:rFonts w:eastAsia="Times New Roman" w:cs="Times New Roman"/>
      <w:szCs w:val="20"/>
      <w:lang w:val="fr-FR"/>
    </w:rPr>
  </w:style>
  <w:style w:type="paragraph" w:customStyle="1" w:styleId="PABlockText">
    <w:name w:val="PA Block Text"/>
    <w:basedOn w:val="Normal"/>
    <w:pPr>
      <w:spacing w:after="120"/>
      <w:jc w:val="both"/>
    </w:pPr>
    <w:rPr>
      <w:rFonts w:eastAsia="Times New Roman" w:cs="Times New Roman"/>
      <w:szCs w:val="20"/>
    </w:rPr>
  </w:style>
  <w:style w:type="paragraph" w:customStyle="1" w:styleId="PABlockTextindent05">
    <w:name w:val="PA Block Text indent 0.5"/>
    <w:basedOn w:val="Normal"/>
    <w:pPr>
      <w:spacing w:after="120"/>
      <w:ind w:left="720"/>
      <w:jc w:val="both"/>
    </w:pPr>
    <w:rPr>
      <w:rFonts w:eastAsia="Times New Roman" w:cs="Times New Roman"/>
      <w:szCs w:val="20"/>
    </w:rPr>
  </w:style>
  <w:style w:type="paragraph" w:customStyle="1" w:styleId="PABlockTextindent1">
    <w:name w:val="PA Block Text indent 1"/>
    <w:basedOn w:val="Normal"/>
    <w:pPr>
      <w:spacing w:after="120"/>
      <w:ind w:left="1440"/>
      <w:jc w:val="both"/>
    </w:pPr>
    <w:rPr>
      <w:rFonts w:eastAsia="Times New Roman" w:cs="Times New Roman"/>
      <w:szCs w:val="20"/>
    </w:rPr>
  </w:style>
  <w:style w:type="paragraph" w:customStyle="1" w:styleId="PABlockTextindent15">
    <w:name w:val="PA Block Text indent 1.5"/>
    <w:basedOn w:val="Normal"/>
    <w:pPr>
      <w:spacing w:after="120"/>
      <w:ind w:left="2160"/>
      <w:jc w:val="both"/>
    </w:pPr>
    <w:rPr>
      <w:rFonts w:eastAsia="Times New Roman" w:cs="Times New Roman"/>
      <w:szCs w:val="20"/>
    </w:rPr>
  </w:style>
  <w:style w:type="paragraph" w:customStyle="1" w:styleId="PABlockTextindent2">
    <w:name w:val="PA Block Text indent 2"/>
    <w:basedOn w:val="Normal"/>
    <w:pPr>
      <w:spacing w:after="120"/>
      <w:ind w:left="2880"/>
      <w:jc w:val="both"/>
    </w:pPr>
    <w:rPr>
      <w:rFonts w:eastAsia="Times New Roman" w:cs="Times New Roman"/>
      <w:szCs w:val="20"/>
    </w:rPr>
  </w:style>
  <w:style w:type="paragraph" w:customStyle="1" w:styleId="PABullet">
    <w:name w:val="PA Bullet"/>
    <w:basedOn w:val="Normal"/>
    <w:pPr>
      <w:numPr>
        <w:numId w:val="9"/>
      </w:numPr>
      <w:spacing w:after="120"/>
      <w:jc w:val="both"/>
    </w:pPr>
    <w:rPr>
      <w:rFonts w:eastAsia="Times New Roman" w:cs="Times New Roman"/>
      <w:szCs w:val="20"/>
    </w:rPr>
  </w:style>
  <w:style w:type="paragraph" w:customStyle="1" w:styleId="PABulletindent05">
    <w:name w:val="PA Bullet indent 0.5"/>
    <w:basedOn w:val="Normal"/>
    <w:pPr>
      <w:numPr>
        <w:numId w:val="10"/>
      </w:numPr>
      <w:spacing w:after="120"/>
      <w:jc w:val="both"/>
    </w:pPr>
    <w:rPr>
      <w:rFonts w:eastAsia="Times New Roman" w:cs="Times New Roman"/>
      <w:szCs w:val="20"/>
    </w:rPr>
  </w:style>
  <w:style w:type="paragraph" w:customStyle="1" w:styleId="PABulletindent1">
    <w:name w:val="PA Bullet indent 1"/>
    <w:basedOn w:val="Normal"/>
    <w:pPr>
      <w:numPr>
        <w:numId w:val="11"/>
      </w:numPr>
      <w:spacing w:after="120"/>
      <w:jc w:val="both"/>
    </w:pPr>
    <w:rPr>
      <w:rFonts w:eastAsia="Times New Roman" w:cs="Times New Roman"/>
      <w:szCs w:val="20"/>
    </w:rPr>
  </w:style>
  <w:style w:type="paragraph" w:customStyle="1" w:styleId="PABulletindent15">
    <w:name w:val="PA Bullet indent 1.5"/>
    <w:basedOn w:val="Normal"/>
    <w:pPr>
      <w:numPr>
        <w:numId w:val="12"/>
      </w:numPr>
      <w:spacing w:after="120"/>
      <w:jc w:val="both"/>
    </w:pPr>
    <w:rPr>
      <w:rFonts w:eastAsia="Times New Roman" w:cs="Times New Roman"/>
      <w:szCs w:val="20"/>
    </w:rPr>
  </w:style>
  <w:style w:type="paragraph" w:customStyle="1" w:styleId="PABulletindent2">
    <w:name w:val="PA Bullet indent 2"/>
    <w:basedOn w:val="Normal"/>
    <w:pPr>
      <w:numPr>
        <w:numId w:val="13"/>
      </w:numPr>
      <w:spacing w:after="120"/>
      <w:jc w:val="both"/>
    </w:pPr>
    <w:rPr>
      <w:rFonts w:eastAsia="Times New Roman" w:cs="Times New Roman"/>
      <w:szCs w:val="20"/>
    </w:rPr>
  </w:style>
  <w:style w:type="paragraph" w:customStyle="1" w:styleId="PADashList">
    <w:name w:val="PA Dash List"/>
    <w:basedOn w:val="Normal"/>
    <w:pPr>
      <w:numPr>
        <w:numId w:val="14"/>
      </w:numPr>
      <w:spacing w:after="120"/>
      <w:jc w:val="both"/>
    </w:pPr>
    <w:rPr>
      <w:rFonts w:eastAsia="Times New Roman" w:cs="Times New Roman"/>
      <w:szCs w:val="20"/>
      <w:lang w:val="fr-FR"/>
    </w:rPr>
  </w:style>
  <w:style w:type="paragraph" w:customStyle="1" w:styleId="PADashListindent05">
    <w:name w:val="PA Dash List indent 0.5"/>
    <w:basedOn w:val="Normal"/>
    <w:pPr>
      <w:numPr>
        <w:numId w:val="15"/>
      </w:numPr>
      <w:spacing w:after="120"/>
      <w:jc w:val="both"/>
    </w:pPr>
    <w:rPr>
      <w:rFonts w:eastAsia="Times New Roman" w:cs="Times New Roman"/>
      <w:szCs w:val="20"/>
      <w:lang w:val="fr-FR"/>
    </w:rPr>
  </w:style>
  <w:style w:type="paragraph" w:customStyle="1" w:styleId="PADashListindent1">
    <w:name w:val="PA Dash List indent 1"/>
    <w:basedOn w:val="Normal"/>
    <w:pPr>
      <w:numPr>
        <w:numId w:val="16"/>
      </w:numPr>
      <w:spacing w:after="120"/>
      <w:jc w:val="both"/>
    </w:pPr>
    <w:rPr>
      <w:rFonts w:eastAsia="Times New Roman" w:cs="Times New Roman"/>
      <w:szCs w:val="20"/>
      <w:lang w:val="fr-FR"/>
    </w:rPr>
  </w:style>
  <w:style w:type="paragraph" w:customStyle="1" w:styleId="PADashListindent15">
    <w:name w:val="PA Dash List indent 1.5"/>
    <w:basedOn w:val="Normal"/>
    <w:pPr>
      <w:numPr>
        <w:numId w:val="17"/>
      </w:numPr>
      <w:spacing w:after="120"/>
      <w:jc w:val="both"/>
    </w:pPr>
    <w:rPr>
      <w:rFonts w:eastAsia="Times New Roman" w:cs="Times New Roman"/>
      <w:szCs w:val="20"/>
      <w:lang w:val="fr-FR"/>
    </w:rPr>
  </w:style>
  <w:style w:type="paragraph" w:customStyle="1" w:styleId="PADashListindent2">
    <w:name w:val="PA Dash List indent 2"/>
    <w:basedOn w:val="Normal"/>
    <w:pPr>
      <w:numPr>
        <w:numId w:val="18"/>
      </w:numPr>
      <w:spacing w:after="120"/>
      <w:jc w:val="both"/>
    </w:pPr>
    <w:rPr>
      <w:rFonts w:eastAsia="Times New Roman" w:cs="Times New Roman"/>
      <w:szCs w:val="20"/>
      <w:lang w:val="fr-FR"/>
    </w:rPr>
  </w:style>
  <w:style w:type="paragraph" w:customStyle="1" w:styleId="PANumList">
    <w:name w:val="PA Num List"/>
    <w:basedOn w:val="Normal"/>
    <w:pPr>
      <w:numPr>
        <w:numId w:val="19"/>
      </w:numPr>
      <w:spacing w:after="120"/>
      <w:jc w:val="both"/>
    </w:pPr>
    <w:rPr>
      <w:rFonts w:eastAsia="Times New Roman" w:cs="Times New Roman"/>
      <w:szCs w:val="20"/>
      <w:lang w:val="fr-FR"/>
    </w:rPr>
  </w:style>
  <w:style w:type="paragraph" w:customStyle="1" w:styleId="PANumListindent05">
    <w:name w:val="PA Num List indent 0.5"/>
    <w:basedOn w:val="Normal"/>
    <w:pPr>
      <w:numPr>
        <w:numId w:val="20"/>
      </w:numPr>
      <w:spacing w:after="120"/>
      <w:jc w:val="both"/>
    </w:pPr>
    <w:rPr>
      <w:rFonts w:eastAsia="Times New Roman" w:cs="Times New Roman"/>
      <w:szCs w:val="20"/>
      <w:lang w:val="fr-FR"/>
    </w:rPr>
  </w:style>
  <w:style w:type="paragraph" w:customStyle="1" w:styleId="PANumListindent1">
    <w:name w:val="PA Num List indent 1"/>
    <w:basedOn w:val="Normal"/>
    <w:pPr>
      <w:numPr>
        <w:numId w:val="21"/>
      </w:numPr>
      <w:spacing w:after="120"/>
      <w:jc w:val="both"/>
    </w:pPr>
    <w:rPr>
      <w:rFonts w:eastAsia="Times New Roman" w:cs="Times New Roman"/>
      <w:szCs w:val="20"/>
      <w:lang w:val="fr-FR"/>
    </w:rPr>
  </w:style>
  <w:style w:type="paragraph" w:customStyle="1" w:styleId="PANumListindent15">
    <w:name w:val="PA Num List indent 1.5"/>
    <w:basedOn w:val="Normal"/>
    <w:pPr>
      <w:numPr>
        <w:numId w:val="22"/>
      </w:numPr>
      <w:spacing w:after="120"/>
      <w:jc w:val="both"/>
    </w:pPr>
    <w:rPr>
      <w:rFonts w:eastAsia="Times New Roman" w:cs="Times New Roman"/>
      <w:szCs w:val="20"/>
      <w:lang w:val="fr-FR"/>
    </w:rPr>
  </w:style>
  <w:style w:type="paragraph" w:customStyle="1" w:styleId="PANumListindent2">
    <w:name w:val="PA Num List indent 2"/>
    <w:basedOn w:val="Normal"/>
    <w:pPr>
      <w:numPr>
        <w:numId w:val="23"/>
      </w:numPr>
      <w:spacing w:after="120"/>
      <w:jc w:val="both"/>
    </w:pPr>
    <w:rPr>
      <w:rFonts w:eastAsia="Times New Roman" w:cs="Times New Roman"/>
      <w:szCs w:val="20"/>
      <w:lang w:val="fr-FR"/>
    </w:rPr>
  </w:style>
  <w:style w:type="paragraph" w:customStyle="1" w:styleId="PARomanList">
    <w:name w:val="PA Roman List"/>
    <w:basedOn w:val="Normal"/>
    <w:pPr>
      <w:numPr>
        <w:numId w:val="24"/>
      </w:numPr>
      <w:spacing w:after="120"/>
      <w:jc w:val="both"/>
    </w:pPr>
    <w:rPr>
      <w:rFonts w:eastAsia="Times New Roman" w:cs="Times New Roman"/>
      <w:szCs w:val="20"/>
      <w:lang w:val="fr-FR"/>
    </w:rPr>
  </w:style>
  <w:style w:type="paragraph" w:customStyle="1" w:styleId="PARomanListindent05">
    <w:name w:val="PA Roman List indent 0.5"/>
    <w:basedOn w:val="Normal"/>
    <w:pPr>
      <w:numPr>
        <w:numId w:val="25"/>
      </w:numPr>
      <w:spacing w:after="120"/>
      <w:jc w:val="both"/>
    </w:pPr>
    <w:rPr>
      <w:rFonts w:eastAsia="Times New Roman" w:cs="Times New Roman"/>
      <w:szCs w:val="20"/>
      <w:lang w:val="fr-FR"/>
    </w:rPr>
  </w:style>
  <w:style w:type="paragraph" w:customStyle="1" w:styleId="PARomanListindent1">
    <w:name w:val="PA Roman List indent 1"/>
    <w:basedOn w:val="Normal"/>
    <w:pPr>
      <w:numPr>
        <w:numId w:val="26"/>
      </w:numPr>
      <w:spacing w:after="120"/>
      <w:jc w:val="both"/>
    </w:pPr>
    <w:rPr>
      <w:rFonts w:eastAsia="Times New Roman" w:cs="Times New Roman"/>
      <w:szCs w:val="20"/>
      <w:lang w:val="fr-FR"/>
    </w:rPr>
  </w:style>
  <w:style w:type="paragraph" w:customStyle="1" w:styleId="PARomanListindent15">
    <w:name w:val="PA Roman List indent 1.5"/>
    <w:basedOn w:val="Normal"/>
    <w:pPr>
      <w:numPr>
        <w:numId w:val="27"/>
      </w:numPr>
      <w:spacing w:after="120"/>
      <w:jc w:val="both"/>
    </w:pPr>
    <w:rPr>
      <w:rFonts w:eastAsia="Times New Roman" w:cs="Times New Roman"/>
      <w:szCs w:val="20"/>
      <w:lang w:val="fr-FR"/>
    </w:rPr>
  </w:style>
  <w:style w:type="paragraph" w:customStyle="1" w:styleId="PARomanListindent2">
    <w:name w:val="PA Roman List indent 2"/>
    <w:basedOn w:val="Normal"/>
    <w:pPr>
      <w:numPr>
        <w:numId w:val="28"/>
      </w:numPr>
      <w:spacing w:after="120"/>
      <w:jc w:val="both"/>
    </w:pPr>
    <w:rPr>
      <w:rFonts w:eastAsia="Times New Roman" w:cs="Times New Roman"/>
      <w:szCs w:val="20"/>
      <w:lang w:val="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CA"/>
    </w:rPr>
  </w:style>
  <w:style w:type="paragraph" w:styleId="Bibliography">
    <w:name w:val="Bibliography"/>
    <w:basedOn w:val="Normal"/>
    <w:next w:val="Normal"/>
    <w:uiPriority w:val="37"/>
    <w:semiHidden/>
    <w:unhideWhenUsed/>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lang w:val="en-CA"/>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val="en-CA"/>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CA"/>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C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lang w:val="en-CA"/>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lang w:val="en-CA"/>
    </w:rPr>
  </w:style>
  <w:style w:type="character" w:styleId="IntenseReference">
    <w:name w:val="Intense Reference"/>
    <w:basedOn w:val="DefaultParagraphFont"/>
    <w:uiPriority w:val="32"/>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CA"/>
    </w:rPr>
  </w:style>
  <w:style w:type="character" w:customStyle="1" w:styleId="MacroTextChar">
    <w:name w:val="Macro Text Char"/>
    <w:basedOn w:val="DefaultParagraphFont"/>
    <w:link w:val="MacroText"/>
    <w:uiPriority w:val="99"/>
    <w:semiHidden/>
    <w:rPr>
      <w:rFonts w:ascii="Consolas" w:hAnsi="Consolas" w:cs="Consolas"/>
      <w:sz w:val="20"/>
      <w:szCs w:val="20"/>
      <w:lang w:val="en-CA"/>
    </w:rPr>
  </w:style>
  <w:style w:type="paragraph" w:styleId="NoSpacing">
    <w:name w:val="No Spacing"/>
    <w:uiPriority w:val="1"/>
    <w:rPr>
      <w:lang w:val="en-CA"/>
    </w:rPr>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lang w:val="en-CA"/>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CA"/>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lang w:val="en-CA"/>
    </w:rPr>
  </w:style>
  <w:style w:type="paragraph" w:styleId="Signature">
    <w:name w:val="Signature"/>
    <w:basedOn w:val="Normal"/>
    <w:link w:val="SignatureChar"/>
    <w:unhideWhenUsed/>
    <w:pPr>
      <w:ind w:left="4320"/>
    </w:pPr>
  </w:style>
  <w:style w:type="character" w:customStyle="1" w:styleId="SignatureChar">
    <w:name w:val="Signature Char"/>
    <w:basedOn w:val="DefaultParagraphFont"/>
    <w:link w:val="Signature"/>
    <w:uiPriority w:val="99"/>
    <w:semiHidden/>
    <w:rPr>
      <w:lang w:val="en-CA"/>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asol.com/suppliers/ethic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2023-05-23T07:06:00Z</dcterms:created>
  <dcterms:modified xsi:type="dcterms:W3CDTF">2023-05-23T07:06:00Z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LNDOCS01/851260.1</vt:lpwstr>
  </property>
  <property fmtid="{D5CDD505-2E9C-101B-9397-08002B2CF9AE}" pid="3" name="DocumentType">
    <vt:lpwstr>pcgBlank</vt:lpwstr>
  </property>
</Properties>
</file>